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5" w:rsidRPr="009817DA" w:rsidRDefault="00507D3D" w:rsidP="008F2290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RESIDENCY PROJECT PROPOSAL</w:t>
      </w:r>
    </w:p>
    <w:p w:rsidR="008F2290" w:rsidRPr="009817DA" w:rsidRDefault="00551409" w:rsidP="008F229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4.65pt;width:452.25pt;height:0;z-index:251657728" o:connectortype="straight"/>
        </w:pict>
      </w:r>
    </w:p>
    <w:p w:rsidR="002B1DA3" w:rsidRPr="009817DA" w:rsidRDefault="008D2A6D" w:rsidP="002B1DA3">
      <w:pPr>
        <w:ind w:left="720" w:hanging="720"/>
        <w:rPr>
          <w:rFonts w:asciiTheme="minorHAnsi" w:hAnsiTheme="minorHAns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Title:</w:t>
      </w:r>
      <w:r w:rsidRPr="009817DA">
        <w:rPr>
          <w:rFonts w:ascii="Calibri" w:hAnsi="Calibri"/>
          <w:b/>
          <w:sz w:val="20"/>
          <w:szCs w:val="20"/>
        </w:rPr>
        <w:tab/>
      </w:r>
      <w:r w:rsidR="002B1DA3" w:rsidRPr="009817DA">
        <w:rPr>
          <w:rFonts w:asciiTheme="minorHAnsi" w:hAnsiTheme="minorHAnsi"/>
          <w:sz w:val="20"/>
          <w:szCs w:val="20"/>
        </w:rPr>
        <w:t>Open Fracture Prophylaxis Protocol Compliance and Outcomes at an Academic Level I Trauma Center</w:t>
      </w:r>
    </w:p>
    <w:p w:rsidR="008D2A6D" w:rsidRPr="009817DA" w:rsidRDefault="008D2A6D" w:rsidP="002B1DA3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Resident:</w:t>
      </w:r>
      <w:r w:rsidRPr="009817DA">
        <w:rPr>
          <w:rFonts w:ascii="Calibri" w:hAnsi="Calibri"/>
          <w:sz w:val="20"/>
          <w:szCs w:val="20"/>
        </w:rPr>
        <w:t xml:space="preserve">  </w:t>
      </w:r>
      <w:r w:rsidR="002B1DA3" w:rsidRPr="009817DA">
        <w:rPr>
          <w:rFonts w:ascii="Calibri" w:hAnsi="Calibri"/>
          <w:sz w:val="20"/>
          <w:szCs w:val="20"/>
        </w:rPr>
        <w:t>Juliana Kyle</w:t>
      </w:r>
      <w:r w:rsidRPr="009817DA">
        <w:rPr>
          <w:rFonts w:ascii="Calibri" w:hAnsi="Calibri"/>
          <w:sz w:val="20"/>
          <w:szCs w:val="20"/>
        </w:rPr>
        <w:tab/>
      </w:r>
      <w:r w:rsidRPr="009817DA">
        <w:rPr>
          <w:rFonts w:ascii="Calibri" w:hAnsi="Calibri"/>
          <w:sz w:val="20"/>
          <w:szCs w:val="20"/>
        </w:rPr>
        <w:tab/>
      </w:r>
      <w:r w:rsidRPr="009817DA">
        <w:rPr>
          <w:rFonts w:ascii="Calibri" w:hAnsi="Calibri"/>
          <w:sz w:val="20"/>
          <w:szCs w:val="20"/>
        </w:rPr>
        <w:tab/>
      </w:r>
      <w:r w:rsidRPr="009817DA">
        <w:rPr>
          <w:rFonts w:ascii="Calibri" w:hAnsi="Calibri"/>
          <w:sz w:val="20"/>
          <w:szCs w:val="20"/>
        </w:rPr>
        <w:tab/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Project Advisor</w:t>
      </w:r>
      <w:r w:rsidR="001770A8">
        <w:rPr>
          <w:rFonts w:ascii="Calibri" w:hAnsi="Calibri"/>
          <w:b/>
          <w:sz w:val="20"/>
          <w:szCs w:val="20"/>
        </w:rPr>
        <w:t>s</w:t>
      </w:r>
      <w:r w:rsidRPr="009817DA">
        <w:rPr>
          <w:rFonts w:ascii="Calibri" w:hAnsi="Calibri"/>
          <w:b/>
          <w:sz w:val="20"/>
          <w:szCs w:val="20"/>
        </w:rPr>
        <w:t>:</w:t>
      </w:r>
      <w:r w:rsidRPr="009817DA">
        <w:rPr>
          <w:rFonts w:ascii="Calibri" w:hAnsi="Calibri"/>
          <w:sz w:val="20"/>
          <w:szCs w:val="20"/>
        </w:rPr>
        <w:t xml:space="preserve">  Susan Hamblin</w:t>
      </w:r>
      <w:r w:rsidR="001770A8">
        <w:rPr>
          <w:rFonts w:ascii="Calibri" w:hAnsi="Calibri"/>
          <w:sz w:val="20"/>
          <w:szCs w:val="20"/>
        </w:rPr>
        <w:t>, Kelli Rumbaugh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ind w:right="-180"/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Date of Initiation:</w:t>
      </w:r>
      <w:r w:rsidRPr="009817DA">
        <w:rPr>
          <w:rFonts w:ascii="Calibri" w:hAnsi="Calibri"/>
          <w:sz w:val="20"/>
          <w:szCs w:val="20"/>
        </w:rPr>
        <w:t xml:space="preserve">  September 201</w:t>
      </w:r>
      <w:r w:rsidR="002B1DA3" w:rsidRPr="009817DA">
        <w:rPr>
          <w:rFonts w:ascii="Calibri" w:hAnsi="Calibri"/>
          <w:sz w:val="20"/>
          <w:szCs w:val="20"/>
        </w:rPr>
        <w:t>2</w:t>
      </w:r>
      <w:r w:rsidRPr="009817DA">
        <w:rPr>
          <w:rFonts w:ascii="Calibri" w:hAnsi="Calibri"/>
          <w:sz w:val="20"/>
          <w:szCs w:val="20"/>
        </w:rPr>
        <w:tab/>
      </w:r>
      <w:r w:rsidRPr="009817DA">
        <w:rPr>
          <w:rFonts w:ascii="Calibri" w:hAnsi="Calibri"/>
          <w:sz w:val="20"/>
          <w:szCs w:val="20"/>
        </w:rPr>
        <w:tab/>
      </w:r>
    </w:p>
    <w:p w:rsidR="008F2290" w:rsidRPr="009817DA" w:rsidRDefault="008F2290" w:rsidP="008F2290">
      <w:pPr>
        <w:ind w:right="-180"/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ind w:right="-180"/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Date of Completion:</w:t>
      </w:r>
      <w:r w:rsidRPr="009817DA">
        <w:rPr>
          <w:rFonts w:ascii="Calibri" w:hAnsi="Calibri"/>
          <w:sz w:val="20"/>
          <w:szCs w:val="20"/>
        </w:rPr>
        <w:t xml:space="preserve">  June 201</w:t>
      </w:r>
      <w:r w:rsidR="002B1DA3" w:rsidRPr="009817DA">
        <w:rPr>
          <w:rFonts w:ascii="Calibri" w:hAnsi="Calibri"/>
          <w:sz w:val="20"/>
          <w:szCs w:val="20"/>
        </w:rPr>
        <w:t>3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Responsible Investigators:</w:t>
      </w:r>
      <w:r w:rsidRPr="009817DA">
        <w:rPr>
          <w:rFonts w:ascii="Calibri" w:hAnsi="Calibri"/>
          <w:sz w:val="20"/>
          <w:szCs w:val="20"/>
        </w:rPr>
        <w:t xml:space="preserve">  </w:t>
      </w:r>
      <w:r w:rsidR="002B1DA3" w:rsidRPr="009817DA">
        <w:rPr>
          <w:rFonts w:ascii="Calibri" w:hAnsi="Calibri"/>
          <w:sz w:val="20"/>
          <w:szCs w:val="20"/>
        </w:rPr>
        <w:t>Juliana Kyle</w:t>
      </w:r>
      <w:r w:rsidRPr="009817DA">
        <w:rPr>
          <w:rFonts w:ascii="Calibri" w:hAnsi="Calibri"/>
          <w:sz w:val="20"/>
          <w:szCs w:val="20"/>
        </w:rPr>
        <w:t xml:space="preserve">, </w:t>
      </w:r>
      <w:proofErr w:type="spellStart"/>
      <w:r w:rsidRPr="009817DA">
        <w:rPr>
          <w:rFonts w:ascii="Calibri" w:hAnsi="Calibri"/>
          <w:sz w:val="20"/>
          <w:szCs w:val="20"/>
        </w:rPr>
        <w:t>PharmD</w:t>
      </w:r>
      <w:proofErr w:type="spellEnd"/>
      <w:r w:rsidRPr="009817DA">
        <w:rPr>
          <w:rFonts w:ascii="Calibri" w:hAnsi="Calibri"/>
          <w:sz w:val="20"/>
          <w:szCs w:val="20"/>
        </w:rPr>
        <w:t xml:space="preserve">; Susan Hamblin, </w:t>
      </w:r>
      <w:proofErr w:type="spellStart"/>
      <w:r w:rsidRPr="009817DA">
        <w:rPr>
          <w:rFonts w:ascii="Calibri" w:hAnsi="Calibri"/>
          <w:sz w:val="20"/>
          <w:szCs w:val="20"/>
        </w:rPr>
        <w:t>PharmD</w:t>
      </w:r>
      <w:proofErr w:type="spellEnd"/>
      <w:r w:rsidR="001770A8">
        <w:rPr>
          <w:rFonts w:ascii="Calibri" w:hAnsi="Calibri"/>
          <w:sz w:val="20"/>
          <w:szCs w:val="20"/>
        </w:rPr>
        <w:t xml:space="preserve">; Kelli </w:t>
      </w:r>
      <w:proofErr w:type="spellStart"/>
      <w:r w:rsidR="001770A8">
        <w:rPr>
          <w:rFonts w:ascii="Calibri" w:hAnsi="Calibri"/>
          <w:sz w:val="20"/>
          <w:szCs w:val="20"/>
        </w:rPr>
        <w:t>Rumbaugh</w:t>
      </w:r>
      <w:proofErr w:type="spellEnd"/>
      <w:r w:rsidR="001770A8">
        <w:rPr>
          <w:rFonts w:ascii="Calibri" w:hAnsi="Calibri"/>
          <w:sz w:val="20"/>
          <w:szCs w:val="20"/>
        </w:rPr>
        <w:t xml:space="preserve">, </w:t>
      </w:r>
      <w:proofErr w:type="spellStart"/>
      <w:r w:rsidR="001770A8">
        <w:rPr>
          <w:rFonts w:ascii="Calibri" w:hAnsi="Calibri"/>
          <w:sz w:val="20"/>
          <w:szCs w:val="20"/>
        </w:rPr>
        <w:t>PharmD</w:t>
      </w:r>
      <w:proofErr w:type="spellEnd"/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tabs>
          <w:tab w:val="left" w:pos="2700"/>
        </w:tabs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Department(s)</w:t>
      </w:r>
      <w:r w:rsidRPr="009817DA">
        <w:rPr>
          <w:rFonts w:ascii="Calibri" w:hAnsi="Calibri"/>
          <w:sz w:val="20"/>
          <w:szCs w:val="20"/>
        </w:rPr>
        <w:t xml:space="preserve"> </w:t>
      </w:r>
      <w:r w:rsidRPr="009817DA">
        <w:rPr>
          <w:rFonts w:ascii="Calibri" w:hAnsi="Calibri"/>
          <w:b/>
          <w:sz w:val="20"/>
          <w:szCs w:val="20"/>
        </w:rPr>
        <w:t>Involved:</w:t>
      </w:r>
      <w:r w:rsidRPr="009817DA">
        <w:rPr>
          <w:rFonts w:ascii="Calibri" w:hAnsi="Calibri"/>
          <w:sz w:val="20"/>
          <w:szCs w:val="20"/>
        </w:rPr>
        <w:t xml:space="preserve"> </w:t>
      </w:r>
      <w:r w:rsidRPr="009817DA">
        <w:rPr>
          <w:rFonts w:ascii="Calibri" w:hAnsi="Calibri"/>
          <w:sz w:val="20"/>
          <w:szCs w:val="20"/>
        </w:rPr>
        <w:tab/>
        <w:t>Pharmaceutical Services</w:t>
      </w:r>
    </w:p>
    <w:p w:rsidR="008F2290" w:rsidRPr="0036445C" w:rsidRDefault="002B1DA3" w:rsidP="006A7D9E">
      <w:pPr>
        <w:tabs>
          <w:tab w:val="left" w:pos="2700"/>
        </w:tabs>
        <w:rPr>
          <w:rFonts w:ascii="Calibri" w:hAnsi="Calibri"/>
          <w:color w:val="FF0000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ab/>
        <w:t xml:space="preserve">Trauma </w:t>
      </w:r>
      <w:r w:rsidR="00CA3E36" w:rsidRPr="00025B57">
        <w:rPr>
          <w:rFonts w:ascii="Calibri" w:hAnsi="Calibri"/>
          <w:sz w:val="20"/>
          <w:szCs w:val="20"/>
        </w:rPr>
        <w:t>Unit</w:t>
      </w:r>
      <w:r w:rsidRPr="00025B57">
        <w:rPr>
          <w:rFonts w:ascii="Calibri" w:hAnsi="Calibri"/>
          <w:sz w:val="20"/>
          <w:szCs w:val="20"/>
        </w:rPr>
        <w:t xml:space="preserve"> </w:t>
      </w:r>
      <w:r w:rsidR="0036445C" w:rsidRPr="00025B57">
        <w:rPr>
          <w:rFonts w:ascii="Calibri" w:hAnsi="Calibri"/>
          <w:sz w:val="20"/>
          <w:szCs w:val="20"/>
        </w:rPr>
        <w:t>(Division of Trauma and Surgical Critical Care)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9716C3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Key Personnel to obtain approval f</w:t>
      </w:r>
      <w:r w:rsidR="008F2290" w:rsidRPr="009817DA">
        <w:rPr>
          <w:rFonts w:ascii="Calibri" w:hAnsi="Calibri"/>
          <w:b/>
          <w:sz w:val="20"/>
          <w:szCs w:val="20"/>
        </w:rPr>
        <w:t>rom:</w:t>
      </w:r>
      <w:r w:rsidR="008F2290" w:rsidRPr="009817DA">
        <w:rPr>
          <w:rFonts w:ascii="Calibri" w:hAnsi="Calibri"/>
          <w:sz w:val="20"/>
          <w:szCs w:val="20"/>
        </w:rPr>
        <w:t xml:space="preserve"> </w:t>
      </w:r>
      <w:r w:rsidR="00D4038B">
        <w:rPr>
          <w:rFonts w:ascii="Calibri" w:hAnsi="Calibri"/>
          <w:sz w:val="20"/>
          <w:szCs w:val="20"/>
        </w:rPr>
        <w:t xml:space="preserve"> </w:t>
      </w:r>
      <w:r w:rsidR="008F2290" w:rsidRPr="009817DA">
        <w:rPr>
          <w:rFonts w:ascii="Calibri" w:hAnsi="Calibri"/>
          <w:sz w:val="20"/>
          <w:szCs w:val="20"/>
        </w:rPr>
        <w:t xml:space="preserve">Dr. </w:t>
      </w:r>
      <w:r w:rsidR="00CA3E36">
        <w:rPr>
          <w:rFonts w:ascii="Calibri" w:hAnsi="Calibri"/>
          <w:sz w:val="20"/>
          <w:szCs w:val="20"/>
        </w:rPr>
        <w:t>Addison May</w:t>
      </w:r>
      <w:r w:rsidR="008F2290" w:rsidRPr="009817DA">
        <w:rPr>
          <w:rFonts w:ascii="Calibri" w:hAnsi="Calibri"/>
          <w:sz w:val="20"/>
          <w:szCs w:val="20"/>
        </w:rPr>
        <w:t>, Dr</w:t>
      </w:r>
      <w:r w:rsidR="00CA3E36">
        <w:rPr>
          <w:rFonts w:ascii="Calibri" w:hAnsi="Calibri"/>
          <w:sz w:val="20"/>
          <w:szCs w:val="20"/>
        </w:rPr>
        <w:t>. William Obremskey, Judy Jenkins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507D3D" w:rsidRDefault="00507D3D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Question to be answered:</w:t>
      </w:r>
    </w:p>
    <w:p w:rsidR="008F2290" w:rsidRPr="009817DA" w:rsidRDefault="002B1DA3" w:rsidP="00B30EDE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>Does prolonged prophylactic antibiotic therapy lead to increased emergence of resistant infections in patients with open fractures?</w:t>
      </w:r>
    </w:p>
    <w:p w:rsidR="002B1DA3" w:rsidRPr="009817DA" w:rsidRDefault="002B1DA3" w:rsidP="008F2290">
      <w:pPr>
        <w:rPr>
          <w:rFonts w:ascii="Calibri" w:hAnsi="Calibri"/>
          <w:b/>
          <w:sz w:val="20"/>
          <w:szCs w:val="20"/>
        </w:rPr>
      </w:pPr>
    </w:p>
    <w:p w:rsidR="00507D3D" w:rsidRDefault="00507D3D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9716C3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Rationale for the s</w:t>
      </w:r>
      <w:r w:rsidR="008F2290" w:rsidRPr="009817DA">
        <w:rPr>
          <w:rFonts w:ascii="Calibri" w:hAnsi="Calibri"/>
          <w:b/>
          <w:sz w:val="20"/>
          <w:szCs w:val="20"/>
        </w:rPr>
        <w:t>tudy:</w:t>
      </w:r>
    </w:p>
    <w:p w:rsidR="002B1DA3" w:rsidRPr="009817DA" w:rsidRDefault="008F2290" w:rsidP="002B1DA3">
      <w:pPr>
        <w:rPr>
          <w:rFonts w:asciiTheme="minorHAnsi" w:hAnsiTheme="minorHAnsi"/>
          <w:sz w:val="20"/>
          <w:szCs w:val="20"/>
        </w:rPr>
      </w:pPr>
      <w:r w:rsidRPr="009817DA">
        <w:rPr>
          <w:rFonts w:ascii="Calibri" w:hAnsi="Calibri"/>
          <w:color w:val="231F20"/>
          <w:sz w:val="20"/>
          <w:szCs w:val="20"/>
        </w:rPr>
        <w:tab/>
      </w:r>
      <w:r w:rsidR="002B1DA3" w:rsidRPr="009817DA">
        <w:rPr>
          <w:rFonts w:asciiTheme="minorHAnsi" w:hAnsiTheme="minorHAnsi"/>
          <w:sz w:val="20"/>
          <w:szCs w:val="20"/>
        </w:rPr>
        <w:t>The purpose of this study is to assess compli</w:t>
      </w:r>
      <w:r w:rsidR="00D4038B">
        <w:rPr>
          <w:rFonts w:asciiTheme="minorHAnsi" w:hAnsiTheme="minorHAnsi"/>
          <w:sz w:val="20"/>
          <w:szCs w:val="20"/>
        </w:rPr>
        <w:t>ance with</w:t>
      </w:r>
      <w:r w:rsidR="002B1DA3" w:rsidRPr="009817DA">
        <w:rPr>
          <w:rFonts w:asciiTheme="minorHAnsi" w:hAnsiTheme="minorHAnsi"/>
          <w:sz w:val="20"/>
          <w:szCs w:val="20"/>
        </w:rPr>
        <w:t xml:space="preserve"> the Open Fracture Prophylactic Antibiotic Protocol at a Level I trauma center and to evaluate related outcomes.  Because open fractures are exposed to the environment through breaks in the skin, these injuries </w:t>
      </w:r>
      <w:r w:rsidR="00E37D09" w:rsidRPr="009817DA">
        <w:rPr>
          <w:rFonts w:asciiTheme="minorHAnsi" w:hAnsiTheme="minorHAnsi"/>
          <w:sz w:val="20"/>
          <w:szCs w:val="20"/>
        </w:rPr>
        <w:t>are associated with</w:t>
      </w:r>
      <w:r w:rsidR="002B1DA3" w:rsidRPr="009817DA">
        <w:rPr>
          <w:rFonts w:asciiTheme="minorHAnsi" w:hAnsiTheme="minorHAnsi"/>
          <w:sz w:val="20"/>
          <w:szCs w:val="20"/>
        </w:rPr>
        <w:t xml:space="preserve"> a </w:t>
      </w:r>
      <w:r w:rsidR="00FE62AD" w:rsidRPr="009817DA">
        <w:rPr>
          <w:rFonts w:asciiTheme="minorHAnsi" w:hAnsiTheme="minorHAnsi"/>
          <w:sz w:val="20"/>
          <w:szCs w:val="20"/>
        </w:rPr>
        <w:t>high</w:t>
      </w:r>
      <w:r w:rsidR="002B1DA3" w:rsidRPr="009817DA">
        <w:rPr>
          <w:rFonts w:asciiTheme="minorHAnsi" w:hAnsiTheme="minorHAnsi"/>
          <w:sz w:val="20"/>
          <w:szCs w:val="20"/>
        </w:rPr>
        <w:t xml:space="preserve"> risk of infection. </w:t>
      </w:r>
      <w:r w:rsidR="00D1341E">
        <w:rPr>
          <w:rFonts w:asciiTheme="minorHAnsi" w:hAnsiTheme="minorHAnsi"/>
          <w:sz w:val="20"/>
          <w:szCs w:val="20"/>
        </w:rPr>
        <w:t xml:space="preserve"> </w:t>
      </w:r>
      <w:r w:rsidR="002B1DA3" w:rsidRPr="009817DA">
        <w:rPr>
          <w:rFonts w:asciiTheme="minorHAnsi" w:hAnsiTheme="minorHAnsi"/>
          <w:sz w:val="20"/>
          <w:szCs w:val="20"/>
        </w:rPr>
        <w:t xml:space="preserve">Antibiotic prophylaxis is critical to reducing </w:t>
      </w:r>
      <w:r w:rsidR="00FE62AD" w:rsidRPr="009817DA">
        <w:rPr>
          <w:rFonts w:asciiTheme="minorHAnsi" w:hAnsiTheme="minorHAnsi"/>
          <w:sz w:val="20"/>
          <w:szCs w:val="20"/>
        </w:rPr>
        <w:t>infection-related morbidity and mortality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1</w:t>
      </w:r>
      <w:r w:rsidR="002B1DA3" w:rsidRPr="009817DA">
        <w:rPr>
          <w:rFonts w:asciiTheme="minorHAnsi" w:hAnsiTheme="minorHAnsi"/>
          <w:sz w:val="20"/>
          <w:szCs w:val="20"/>
        </w:rPr>
        <w:t xml:space="preserve">.  </w:t>
      </w:r>
    </w:p>
    <w:p w:rsidR="002B1DA3" w:rsidRPr="009817DA" w:rsidRDefault="00D4038B" w:rsidP="00CA3E36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Use of prophylactic antibiotics</w:t>
      </w:r>
      <w:r w:rsidR="002B1DA3" w:rsidRPr="009817DA">
        <w:rPr>
          <w:rFonts w:asciiTheme="minorHAnsi" w:hAnsiTheme="minorHAnsi"/>
          <w:sz w:val="20"/>
          <w:szCs w:val="20"/>
        </w:rPr>
        <w:t xml:space="preserve"> for open fractures has been the standard of care for over 30 years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1</w:t>
      </w:r>
      <w:r w:rsidR="002B1DA3" w:rsidRPr="009817DA">
        <w:rPr>
          <w:rFonts w:asciiTheme="minorHAnsi" w:hAnsiTheme="minorHAnsi"/>
          <w:sz w:val="20"/>
          <w:szCs w:val="20"/>
        </w:rPr>
        <w:t>.  Open fractures are classified as Grades I- III based on size of wound and severity of damage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2</w:t>
      </w:r>
      <w:r w:rsidR="002B1DA3" w:rsidRPr="009817DA">
        <w:rPr>
          <w:rFonts w:asciiTheme="minorHAnsi" w:hAnsiTheme="minorHAnsi"/>
          <w:sz w:val="20"/>
          <w:szCs w:val="20"/>
        </w:rPr>
        <w:t>; antibiotic regi</w:t>
      </w:r>
      <w:r w:rsidR="00830C69" w:rsidRPr="009817DA">
        <w:rPr>
          <w:rFonts w:asciiTheme="minorHAnsi" w:hAnsiTheme="minorHAnsi"/>
          <w:sz w:val="20"/>
          <w:szCs w:val="20"/>
        </w:rPr>
        <w:t xml:space="preserve">mens are determined based on </w:t>
      </w:r>
      <w:r w:rsidR="002B1DA3" w:rsidRPr="009817DA">
        <w:rPr>
          <w:rFonts w:asciiTheme="minorHAnsi" w:hAnsiTheme="minorHAnsi"/>
          <w:sz w:val="20"/>
          <w:szCs w:val="20"/>
        </w:rPr>
        <w:t>open fracture</w:t>
      </w:r>
      <w:r w:rsidR="00830C69" w:rsidRPr="009817DA">
        <w:rPr>
          <w:rFonts w:asciiTheme="minorHAnsi" w:hAnsiTheme="minorHAnsi"/>
          <w:sz w:val="20"/>
          <w:szCs w:val="20"/>
        </w:rPr>
        <w:t xml:space="preserve"> grade</w:t>
      </w:r>
      <w:r w:rsidR="002B1DA3" w:rsidRPr="009817DA">
        <w:rPr>
          <w:rFonts w:asciiTheme="minorHAnsi" w:hAnsiTheme="minorHAnsi"/>
          <w:sz w:val="20"/>
          <w:szCs w:val="20"/>
        </w:rPr>
        <w:t>.  Practice guidelines</w:t>
      </w:r>
      <w:r w:rsidR="0066690F">
        <w:rPr>
          <w:rFonts w:asciiTheme="minorHAnsi" w:hAnsiTheme="minorHAnsi"/>
          <w:sz w:val="20"/>
          <w:szCs w:val="20"/>
        </w:rPr>
        <w:t xml:space="preserve"> on prophylactic antibiotic use</w:t>
      </w:r>
      <w:r w:rsidR="002B1DA3" w:rsidRPr="009817DA">
        <w:rPr>
          <w:rFonts w:asciiTheme="minorHAnsi" w:hAnsiTheme="minorHAnsi"/>
          <w:sz w:val="20"/>
          <w:szCs w:val="20"/>
        </w:rPr>
        <w:t xml:space="preserve"> differ on several key points, especially </w:t>
      </w:r>
      <w:r w:rsidR="0066690F">
        <w:rPr>
          <w:rFonts w:asciiTheme="minorHAnsi" w:hAnsiTheme="minorHAnsi"/>
          <w:sz w:val="20"/>
          <w:szCs w:val="20"/>
        </w:rPr>
        <w:t>with regard to regimens for</w:t>
      </w:r>
      <w:r w:rsidR="002B1DA3" w:rsidRPr="009817DA">
        <w:rPr>
          <w:rFonts w:asciiTheme="minorHAnsi" w:hAnsiTheme="minorHAnsi"/>
          <w:sz w:val="20"/>
          <w:szCs w:val="20"/>
        </w:rPr>
        <w:t xml:space="preserve"> Grade III fractures.  </w:t>
      </w:r>
      <w:r w:rsidR="00CA3E36" w:rsidRPr="009817DA">
        <w:rPr>
          <w:rFonts w:asciiTheme="minorHAnsi" w:hAnsiTheme="minorHAnsi"/>
          <w:sz w:val="20"/>
          <w:szCs w:val="20"/>
        </w:rPr>
        <w:t xml:space="preserve">For any open fracture, guidelines agree on initiating systemic coverage against gram-positive organisms as soon as possible.  </w:t>
      </w:r>
      <w:r w:rsidR="002B1DA3" w:rsidRPr="009817DA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>he issue of whether to add gram-</w:t>
      </w:r>
      <w:r w:rsidR="002B1DA3" w:rsidRPr="009817DA">
        <w:rPr>
          <w:rFonts w:asciiTheme="minorHAnsi" w:hAnsiTheme="minorHAnsi"/>
          <w:sz w:val="20"/>
          <w:szCs w:val="20"/>
        </w:rPr>
        <w:t>negative coverage for Grade III fractures is particularly controversial.</w:t>
      </w:r>
      <w:r w:rsidR="00CA3E36">
        <w:rPr>
          <w:rFonts w:asciiTheme="minorHAnsi" w:hAnsiTheme="minorHAnsi"/>
          <w:sz w:val="20"/>
          <w:szCs w:val="20"/>
        </w:rPr>
        <w:t xml:space="preserve">  </w:t>
      </w:r>
      <w:r w:rsidR="002B1DA3" w:rsidRPr="009817DA">
        <w:rPr>
          <w:rFonts w:asciiTheme="minorHAnsi" w:hAnsiTheme="minorHAnsi"/>
          <w:sz w:val="20"/>
          <w:szCs w:val="20"/>
        </w:rPr>
        <w:t xml:space="preserve">For </w:t>
      </w:r>
      <w:r>
        <w:rPr>
          <w:rFonts w:asciiTheme="minorHAnsi" w:hAnsiTheme="minorHAnsi"/>
          <w:sz w:val="20"/>
          <w:szCs w:val="20"/>
        </w:rPr>
        <w:t>Grad</w:t>
      </w:r>
      <w:r w:rsidR="002B1DA3" w:rsidRPr="009817DA">
        <w:rPr>
          <w:rFonts w:asciiTheme="minorHAnsi" w:hAnsiTheme="minorHAnsi"/>
          <w:sz w:val="20"/>
          <w:szCs w:val="20"/>
        </w:rPr>
        <w:t xml:space="preserve">e III fractures,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2B1DA3" w:rsidRPr="009817DA">
        <w:rPr>
          <w:rFonts w:asciiTheme="minorHAnsi" w:hAnsiTheme="minorHAnsi"/>
          <w:sz w:val="20"/>
          <w:szCs w:val="20"/>
        </w:rPr>
        <w:t>E</w:t>
      </w:r>
      <w:r w:rsidR="00FB5692" w:rsidRPr="009817DA">
        <w:rPr>
          <w:rFonts w:asciiTheme="minorHAnsi" w:hAnsiTheme="minorHAnsi"/>
          <w:sz w:val="20"/>
          <w:szCs w:val="20"/>
        </w:rPr>
        <w:t>astern Association for the Surgery of Trauma (E</w:t>
      </w:r>
      <w:r w:rsidR="002B1DA3" w:rsidRPr="009817DA">
        <w:rPr>
          <w:rFonts w:asciiTheme="minorHAnsi" w:hAnsiTheme="minorHAnsi"/>
          <w:sz w:val="20"/>
          <w:szCs w:val="20"/>
        </w:rPr>
        <w:t>AST</w:t>
      </w:r>
      <w:r w:rsidR="00FB5692" w:rsidRPr="009817DA">
        <w:rPr>
          <w:rFonts w:asciiTheme="minorHAnsi" w:hAnsiTheme="minorHAnsi"/>
          <w:sz w:val="20"/>
          <w:szCs w:val="20"/>
        </w:rPr>
        <w:t>)</w:t>
      </w:r>
      <w:r w:rsidR="002B1DA3" w:rsidRPr="009817DA">
        <w:rPr>
          <w:rFonts w:asciiTheme="minorHAnsi" w:hAnsiTheme="minorHAnsi"/>
          <w:sz w:val="20"/>
          <w:szCs w:val="20"/>
        </w:rPr>
        <w:t xml:space="preserve"> guidelines recommen</w:t>
      </w:r>
      <w:r w:rsidR="0066690F">
        <w:rPr>
          <w:rFonts w:asciiTheme="minorHAnsi" w:hAnsiTheme="minorHAnsi"/>
          <w:sz w:val="20"/>
          <w:szCs w:val="20"/>
        </w:rPr>
        <w:t>d adding gram-negative coverage</w:t>
      </w:r>
      <w:r w:rsidR="002B1DA3" w:rsidRPr="009817DA">
        <w:rPr>
          <w:rFonts w:asciiTheme="minorHAnsi" w:hAnsiTheme="minorHAnsi"/>
          <w:sz w:val="20"/>
          <w:szCs w:val="20"/>
        </w:rPr>
        <w:t xml:space="preserve"> and initiating high-dose penicillin if </w:t>
      </w:r>
      <w:proofErr w:type="spellStart"/>
      <w:r w:rsidR="002B1DA3" w:rsidRPr="009817DA">
        <w:rPr>
          <w:rFonts w:asciiTheme="minorHAnsi" w:hAnsiTheme="minorHAnsi"/>
          <w:sz w:val="20"/>
          <w:szCs w:val="20"/>
        </w:rPr>
        <w:t>clostridial</w:t>
      </w:r>
      <w:proofErr w:type="spellEnd"/>
      <w:r w:rsidR="002B1DA3" w:rsidRPr="009817DA">
        <w:rPr>
          <w:rFonts w:asciiTheme="minorHAnsi" w:hAnsiTheme="minorHAnsi"/>
          <w:sz w:val="20"/>
          <w:szCs w:val="20"/>
        </w:rPr>
        <w:t xml:space="preserve"> contamination is suspected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3</w:t>
      </w:r>
      <w:r w:rsidR="002B1DA3" w:rsidRPr="009817DA">
        <w:rPr>
          <w:rFonts w:asciiTheme="minorHAnsi" w:hAnsiTheme="minorHAnsi"/>
          <w:sz w:val="20"/>
          <w:szCs w:val="20"/>
        </w:rPr>
        <w:t>.  Conversely, the Surgical Infection Society</w:t>
      </w:r>
      <w:r w:rsidR="0066690F">
        <w:rPr>
          <w:rFonts w:asciiTheme="minorHAnsi" w:hAnsiTheme="minorHAnsi"/>
          <w:sz w:val="20"/>
          <w:szCs w:val="20"/>
        </w:rPr>
        <w:t xml:space="preserve"> guidelines state</w:t>
      </w:r>
      <w:r w:rsidR="002B1DA3" w:rsidRPr="009817DA">
        <w:rPr>
          <w:rFonts w:asciiTheme="minorHAnsi" w:hAnsiTheme="minorHAnsi"/>
          <w:sz w:val="20"/>
          <w:szCs w:val="20"/>
        </w:rPr>
        <w:t xml:space="preserve"> that evidence is insufficient to warrant coverage for gram-negative bacilli or </w:t>
      </w:r>
      <w:proofErr w:type="spellStart"/>
      <w:r w:rsidR="002B1DA3" w:rsidRPr="009817DA">
        <w:rPr>
          <w:rFonts w:asciiTheme="minorHAnsi" w:hAnsiTheme="minorHAnsi"/>
          <w:sz w:val="20"/>
          <w:szCs w:val="20"/>
        </w:rPr>
        <w:t>clostridial</w:t>
      </w:r>
      <w:proofErr w:type="spellEnd"/>
      <w:r w:rsidR="002B1DA3" w:rsidRPr="009817DA">
        <w:rPr>
          <w:rFonts w:asciiTheme="minorHAnsi" w:hAnsiTheme="minorHAnsi"/>
          <w:sz w:val="20"/>
          <w:szCs w:val="20"/>
        </w:rPr>
        <w:t xml:space="preserve"> species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4</w:t>
      </w:r>
      <w:r w:rsidR="002B1DA3" w:rsidRPr="009817DA">
        <w:rPr>
          <w:rFonts w:asciiTheme="minorHAnsi" w:hAnsiTheme="minorHAnsi"/>
          <w:sz w:val="20"/>
          <w:szCs w:val="20"/>
        </w:rPr>
        <w:t xml:space="preserve">.  </w:t>
      </w:r>
    </w:p>
    <w:p w:rsidR="002B1DA3" w:rsidRPr="009817DA" w:rsidRDefault="002B1DA3" w:rsidP="002B1DA3">
      <w:pPr>
        <w:ind w:firstLine="720"/>
        <w:rPr>
          <w:rFonts w:asciiTheme="minorHAnsi" w:hAnsiTheme="minorHAnsi"/>
          <w:sz w:val="20"/>
          <w:szCs w:val="20"/>
        </w:rPr>
      </w:pPr>
      <w:r w:rsidRPr="009817DA">
        <w:rPr>
          <w:rFonts w:asciiTheme="minorHAnsi" w:hAnsiTheme="minorHAnsi"/>
          <w:sz w:val="20"/>
          <w:szCs w:val="20"/>
        </w:rPr>
        <w:t xml:space="preserve">Duration of </w:t>
      </w:r>
      <w:r w:rsidR="00D4038B">
        <w:rPr>
          <w:rFonts w:asciiTheme="minorHAnsi" w:hAnsiTheme="minorHAnsi"/>
          <w:sz w:val="20"/>
          <w:szCs w:val="20"/>
        </w:rPr>
        <w:t xml:space="preserve">prophylactic antibiotic </w:t>
      </w:r>
      <w:r w:rsidRPr="009817DA">
        <w:rPr>
          <w:rFonts w:asciiTheme="minorHAnsi" w:hAnsiTheme="minorHAnsi"/>
          <w:sz w:val="20"/>
          <w:szCs w:val="20"/>
        </w:rPr>
        <w:t>therapy</w:t>
      </w:r>
      <w:r w:rsidR="0040063E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40063E" w:rsidRPr="00FF3F89">
        <w:rPr>
          <w:rFonts w:asciiTheme="minorHAnsi" w:hAnsiTheme="minorHAnsi"/>
          <w:sz w:val="20"/>
          <w:szCs w:val="20"/>
        </w:rPr>
        <w:t>has also been controversial</w:t>
      </w:r>
      <w:r w:rsidRPr="00FF3F89">
        <w:rPr>
          <w:rFonts w:asciiTheme="minorHAnsi" w:hAnsiTheme="minorHAnsi"/>
          <w:sz w:val="20"/>
          <w:szCs w:val="20"/>
        </w:rPr>
        <w:t>.</w:t>
      </w:r>
      <w:r w:rsidRPr="009817DA">
        <w:rPr>
          <w:rFonts w:asciiTheme="minorHAnsi" w:hAnsiTheme="minorHAnsi"/>
          <w:sz w:val="20"/>
          <w:szCs w:val="20"/>
        </w:rPr>
        <w:t xml:space="preserve">  EAST guidelines recommend continuing antibiotics for 24 hours after wound closure for Grades I and II fractures, and for </w:t>
      </w:r>
      <w:r w:rsidR="00D4038B">
        <w:rPr>
          <w:rFonts w:asciiTheme="minorHAnsi" w:hAnsiTheme="minorHAnsi"/>
          <w:sz w:val="20"/>
          <w:szCs w:val="20"/>
        </w:rPr>
        <w:t>Grade</w:t>
      </w:r>
      <w:r w:rsidRPr="009817DA">
        <w:rPr>
          <w:rFonts w:asciiTheme="minorHAnsi" w:hAnsiTheme="minorHAnsi"/>
          <w:sz w:val="20"/>
          <w:szCs w:val="20"/>
        </w:rPr>
        <w:t xml:space="preserve"> III fractures, continuing for 72 hours after injury or not more than 24 hours after adequate coverage of the wound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3</w:t>
      </w:r>
      <w:r w:rsidRPr="009817DA">
        <w:rPr>
          <w:rFonts w:asciiTheme="minorHAnsi" w:hAnsiTheme="minorHAnsi"/>
          <w:sz w:val="20"/>
          <w:szCs w:val="20"/>
        </w:rPr>
        <w:t>.  In contrast, the Surgical Infection Society suggests continuing prophylactic antibiotics for 48 hours perioperatively for Grades I, II, and III open fractures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4</w:t>
      </w:r>
      <w:r w:rsidRPr="009817DA">
        <w:rPr>
          <w:rFonts w:asciiTheme="minorHAnsi" w:hAnsiTheme="minorHAnsi"/>
          <w:sz w:val="20"/>
          <w:szCs w:val="20"/>
        </w:rPr>
        <w:t>.</w:t>
      </w:r>
    </w:p>
    <w:p w:rsidR="004B06CB" w:rsidRPr="009817DA" w:rsidRDefault="005A57C9" w:rsidP="00212214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Studies on infection rates in the ICU</w:t>
      </w:r>
      <w:r w:rsidR="00CA3E36">
        <w:rPr>
          <w:rFonts w:asciiTheme="minorHAnsi" w:hAnsiTheme="minorHAnsi"/>
          <w:sz w:val="20"/>
          <w:szCs w:val="20"/>
        </w:rPr>
        <w:t xml:space="preserve"> setting show clear benefit of limiting unnecessary antibiotic usage</w:t>
      </w:r>
      <w:r>
        <w:rPr>
          <w:rFonts w:asciiTheme="minorHAnsi" w:hAnsiTheme="minorHAnsi"/>
          <w:sz w:val="20"/>
          <w:szCs w:val="20"/>
        </w:rPr>
        <w:t xml:space="preserve">.  </w:t>
      </w:r>
      <w:r w:rsidR="00212214" w:rsidRPr="009817DA">
        <w:rPr>
          <w:rFonts w:asciiTheme="minorHAnsi" w:hAnsiTheme="minorHAnsi"/>
          <w:sz w:val="20"/>
          <w:szCs w:val="20"/>
        </w:rPr>
        <w:t xml:space="preserve">An eight-year </w:t>
      </w:r>
      <w:r w:rsidR="00232FF8" w:rsidRPr="009817DA">
        <w:rPr>
          <w:rFonts w:asciiTheme="minorHAnsi" w:hAnsiTheme="minorHAnsi"/>
          <w:sz w:val="20"/>
          <w:szCs w:val="20"/>
        </w:rPr>
        <w:t>observational</w:t>
      </w:r>
      <w:r w:rsidR="00212214" w:rsidRPr="009817DA">
        <w:rPr>
          <w:rFonts w:asciiTheme="minorHAnsi" w:hAnsiTheme="minorHAnsi"/>
          <w:sz w:val="20"/>
          <w:szCs w:val="20"/>
        </w:rPr>
        <w:t xml:space="preserve"> study at Vanderbilt University Medical Center demonstrated significa</w:t>
      </w:r>
      <w:r w:rsidR="00CA3E36">
        <w:rPr>
          <w:rFonts w:asciiTheme="minorHAnsi" w:hAnsiTheme="minorHAnsi"/>
          <w:sz w:val="20"/>
          <w:szCs w:val="20"/>
        </w:rPr>
        <w:t xml:space="preserve">nt reductions in </w:t>
      </w:r>
      <w:r w:rsidR="00D76D57">
        <w:rPr>
          <w:rFonts w:asciiTheme="minorHAnsi" w:hAnsiTheme="minorHAnsi"/>
          <w:sz w:val="20"/>
          <w:szCs w:val="20"/>
        </w:rPr>
        <w:t>the proportion</w:t>
      </w:r>
      <w:r w:rsidR="00CA3E36">
        <w:rPr>
          <w:rFonts w:asciiTheme="minorHAnsi" w:hAnsiTheme="minorHAnsi"/>
          <w:sz w:val="20"/>
          <w:szCs w:val="20"/>
        </w:rPr>
        <w:t xml:space="preserve"> of</w:t>
      </w:r>
      <w:r w:rsidR="00212214" w:rsidRPr="009817DA">
        <w:rPr>
          <w:rFonts w:asciiTheme="minorHAnsi" w:hAnsiTheme="minorHAnsi"/>
          <w:sz w:val="20"/>
          <w:szCs w:val="20"/>
        </w:rPr>
        <w:t xml:space="preserve"> multidrug resistant (from 37.4% to 8.5%) gram-negative healthcare-acquired infections in the Surgical and Trauma Intensive Care Units after initiation of an antibiotic stewardship </w:t>
      </w:r>
      <w:r w:rsidR="00A82C8D" w:rsidRPr="009817DA">
        <w:rPr>
          <w:rFonts w:asciiTheme="minorHAnsi" w:hAnsiTheme="minorHAnsi"/>
          <w:sz w:val="20"/>
          <w:szCs w:val="20"/>
        </w:rPr>
        <w:t>protocol</w:t>
      </w:r>
      <w:r w:rsidR="00A82C8D">
        <w:rPr>
          <w:rFonts w:asciiTheme="minorHAnsi" w:hAnsiTheme="minorHAnsi"/>
          <w:sz w:val="20"/>
          <w:szCs w:val="20"/>
        </w:rPr>
        <w:t>, which included specific guidance on choosing an appropriate agent and limiting duration of use</w:t>
      </w:r>
      <w:r w:rsidR="00212214" w:rsidRPr="009817DA">
        <w:rPr>
          <w:rFonts w:asciiTheme="minorHAnsi" w:hAnsiTheme="minorHAnsi"/>
          <w:sz w:val="20"/>
          <w:szCs w:val="20"/>
          <w:vertAlign w:val="superscript"/>
        </w:rPr>
        <w:t>1</w:t>
      </w:r>
      <w:r w:rsidR="00212214" w:rsidRPr="009817DA">
        <w:rPr>
          <w:rFonts w:asciiTheme="minorHAnsi" w:hAnsiTheme="minorHAnsi"/>
          <w:sz w:val="20"/>
          <w:szCs w:val="20"/>
        </w:rPr>
        <w:t xml:space="preserve">.  Despite such profound results, additional supportive data on current standards are </w:t>
      </w:r>
      <w:r w:rsidR="002B1DA3" w:rsidRPr="009817DA">
        <w:rPr>
          <w:rFonts w:asciiTheme="minorHAnsi" w:hAnsiTheme="minorHAnsi"/>
          <w:sz w:val="20"/>
          <w:szCs w:val="20"/>
        </w:rPr>
        <w:t xml:space="preserve">limited, leading to variations in practice (extended duration of therapy, use of additional agents for </w:t>
      </w:r>
      <w:r w:rsidR="002B1DA3" w:rsidRPr="009817DA">
        <w:rPr>
          <w:rFonts w:asciiTheme="minorHAnsi" w:hAnsiTheme="minorHAnsi"/>
          <w:sz w:val="20"/>
          <w:szCs w:val="20"/>
        </w:rPr>
        <w:lastRenderedPageBreak/>
        <w:t>broader coverage, etc.).  Such variations are concerning as the risk for development of antibiotic resistance continues to rise, particularly in the ICU setting</w:t>
      </w:r>
      <w:r w:rsidR="00596D29" w:rsidRPr="009817DA">
        <w:rPr>
          <w:rFonts w:asciiTheme="minorHAnsi" w:hAnsiTheme="minorHAnsi"/>
          <w:sz w:val="20"/>
          <w:szCs w:val="20"/>
        </w:rPr>
        <w:t xml:space="preserve">. </w:t>
      </w:r>
      <w:r w:rsidR="002B1DA3" w:rsidRPr="009817DA">
        <w:rPr>
          <w:rFonts w:asciiTheme="minorHAnsi" w:hAnsiTheme="minorHAnsi"/>
          <w:sz w:val="20"/>
          <w:szCs w:val="20"/>
        </w:rPr>
        <w:t xml:space="preserve"> Additionally, risk</w:t>
      </w:r>
      <w:r w:rsidR="00FB5692" w:rsidRPr="009817DA">
        <w:rPr>
          <w:rFonts w:asciiTheme="minorHAnsi" w:hAnsiTheme="minorHAnsi"/>
          <w:sz w:val="20"/>
          <w:szCs w:val="20"/>
        </w:rPr>
        <w:t>s</w:t>
      </w:r>
      <w:r w:rsidR="002B1DA3" w:rsidRPr="009817DA">
        <w:rPr>
          <w:rFonts w:asciiTheme="minorHAnsi" w:hAnsiTheme="minorHAnsi"/>
          <w:sz w:val="20"/>
          <w:szCs w:val="20"/>
        </w:rPr>
        <w:t xml:space="preserve"> of kidney injury and other antibiotic-</w:t>
      </w:r>
      <w:r w:rsidR="00FB5692" w:rsidRPr="009817DA">
        <w:rPr>
          <w:rFonts w:asciiTheme="minorHAnsi" w:hAnsiTheme="minorHAnsi"/>
          <w:sz w:val="20"/>
          <w:szCs w:val="20"/>
        </w:rPr>
        <w:t>related adverse events increase</w:t>
      </w:r>
      <w:r w:rsidR="002B1DA3" w:rsidRPr="009817DA">
        <w:rPr>
          <w:rFonts w:asciiTheme="minorHAnsi" w:hAnsiTheme="minorHAnsi"/>
          <w:sz w:val="20"/>
          <w:szCs w:val="20"/>
        </w:rPr>
        <w:t xml:space="preserve"> with prolonged antibiotic use</w:t>
      </w:r>
      <w:r w:rsidR="00830C69" w:rsidRPr="009817DA">
        <w:rPr>
          <w:rFonts w:asciiTheme="minorHAnsi" w:hAnsiTheme="minorHAnsi"/>
          <w:sz w:val="20"/>
          <w:szCs w:val="20"/>
          <w:vertAlign w:val="superscript"/>
        </w:rPr>
        <w:t>4</w:t>
      </w:r>
      <w:r w:rsidR="002B1DA3" w:rsidRPr="009817DA">
        <w:rPr>
          <w:rFonts w:asciiTheme="minorHAnsi" w:hAnsiTheme="minorHAnsi"/>
          <w:sz w:val="20"/>
          <w:szCs w:val="20"/>
        </w:rPr>
        <w:t>.</w:t>
      </w:r>
      <w:r w:rsidR="00596D29" w:rsidRPr="009817DA">
        <w:rPr>
          <w:rFonts w:asciiTheme="minorHAnsi" w:hAnsiTheme="minorHAnsi"/>
          <w:sz w:val="20"/>
          <w:szCs w:val="20"/>
        </w:rPr>
        <w:t xml:space="preserve">  </w:t>
      </w:r>
    </w:p>
    <w:p w:rsidR="002B1DA3" w:rsidRPr="009817DA" w:rsidRDefault="00D76D57" w:rsidP="002B1DA3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study will determine our</w:t>
      </w:r>
      <w:r w:rsidR="002B1DA3" w:rsidRPr="009817DA">
        <w:rPr>
          <w:rFonts w:asciiTheme="minorHAnsi" w:hAnsiTheme="minorHAnsi"/>
          <w:sz w:val="20"/>
          <w:szCs w:val="20"/>
        </w:rPr>
        <w:t xml:space="preserve"> Level I trauma center’s rate of compliance with its Open Fracture Prophylactic Antibiotic Protocol</w:t>
      </w:r>
      <w:r w:rsidR="00973879">
        <w:rPr>
          <w:rFonts w:asciiTheme="minorHAnsi" w:hAnsiTheme="minorHAnsi"/>
          <w:sz w:val="20"/>
          <w:szCs w:val="20"/>
        </w:rPr>
        <w:t xml:space="preserve"> </w:t>
      </w:r>
      <w:r w:rsidR="002B1DA3" w:rsidRPr="009817DA">
        <w:rPr>
          <w:rFonts w:asciiTheme="minorHAnsi" w:hAnsiTheme="minorHAnsi"/>
          <w:sz w:val="20"/>
          <w:szCs w:val="20"/>
        </w:rPr>
        <w:t xml:space="preserve">and examine how this level of </w:t>
      </w:r>
      <w:r w:rsidR="00D4038B">
        <w:rPr>
          <w:rFonts w:asciiTheme="minorHAnsi" w:hAnsiTheme="minorHAnsi"/>
          <w:sz w:val="20"/>
          <w:szCs w:val="20"/>
        </w:rPr>
        <w:t>compliance influences outcomes</w:t>
      </w:r>
      <w:r w:rsidR="002B1DA3" w:rsidRPr="009817DA">
        <w:rPr>
          <w:rFonts w:asciiTheme="minorHAnsi" w:hAnsiTheme="minorHAnsi"/>
          <w:sz w:val="20"/>
          <w:szCs w:val="20"/>
        </w:rPr>
        <w:t xml:space="preserve">.  </w:t>
      </w:r>
      <w:r w:rsidR="00487E7B">
        <w:rPr>
          <w:rFonts w:asciiTheme="minorHAnsi" w:hAnsiTheme="minorHAnsi"/>
          <w:sz w:val="20"/>
          <w:szCs w:val="20"/>
        </w:rPr>
        <w:t>Data from this study</w:t>
      </w:r>
      <w:r w:rsidR="002B1DA3" w:rsidRPr="009817DA">
        <w:rPr>
          <w:rFonts w:asciiTheme="minorHAnsi" w:hAnsiTheme="minorHAnsi"/>
          <w:sz w:val="20"/>
          <w:szCs w:val="20"/>
        </w:rPr>
        <w:t xml:space="preserve"> </w:t>
      </w:r>
      <w:r w:rsidR="00FD1DC9">
        <w:rPr>
          <w:rFonts w:asciiTheme="minorHAnsi" w:hAnsiTheme="minorHAnsi"/>
          <w:sz w:val="20"/>
          <w:szCs w:val="20"/>
        </w:rPr>
        <w:t>will provide valuable evidence toward establishing</w:t>
      </w:r>
      <w:r w:rsidR="002B1DA3" w:rsidRPr="009817DA">
        <w:rPr>
          <w:rFonts w:asciiTheme="minorHAnsi" w:hAnsiTheme="minorHAnsi"/>
          <w:sz w:val="20"/>
          <w:szCs w:val="20"/>
        </w:rPr>
        <w:t xml:space="preserve"> optimal practice for preventing infection</w:t>
      </w:r>
      <w:r w:rsidR="00FD1DC9">
        <w:rPr>
          <w:rFonts w:asciiTheme="minorHAnsi" w:hAnsiTheme="minorHAnsi"/>
          <w:sz w:val="20"/>
          <w:szCs w:val="20"/>
        </w:rPr>
        <w:t xml:space="preserve"> </w:t>
      </w:r>
      <w:r w:rsidR="002B1DA3" w:rsidRPr="009817DA">
        <w:rPr>
          <w:rFonts w:asciiTheme="minorHAnsi" w:hAnsiTheme="minorHAnsi"/>
          <w:sz w:val="20"/>
          <w:szCs w:val="20"/>
        </w:rPr>
        <w:t>in patients with open fractures</w:t>
      </w:r>
      <w:r w:rsidR="00487E7B">
        <w:rPr>
          <w:rFonts w:asciiTheme="minorHAnsi" w:hAnsiTheme="minorHAnsi"/>
          <w:sz w:val="20"/>
          <w:szCs w:val="20"/>
        </w:rPr>
        <w:t xml:space="preserve"> while avoiding increased development of resistant pathogens</w:t>
      </w:r>
      <w:r w:rsidR="002B1DA3" w:rsidRPr="009817DA">
        <w:rPr>
          <w:rFonts w:asciiTheme="minorHAnsi" w:hAnsiTheme="minorHAnsi"/>
          <w:sz w:val="20"/>
          <w:szCs w:val="20"/>
        </w:rPr>
        <w:t>.</w:t>
      </w:r>
    </w:p>
    <w:p w:rsidR="008F2290" w:rsidRPr="009817DA" w:rsidRDefault="008F2290" w:rsidP="008F2290">
      <w:pPr>
        <w:autoSpaceDE w:val="0"/>
        <w:autoSpaceDN w:val="0"/>
        <w:adjustRightInd w:val="0"/>
        <w:rPr>
          <w:rFonts w:ascii="Calibri" w:hAnsi="Calibri"/>
          <w:color w:val="231F20"/>
          <w:sz w:val="20"/>
          <w:szCs w:val="20"/>
        </w:rPr>
      </w:pPr>
    </w:p>
    <w:p w:rsidR="00507D3D" w:rsidRDefault="00507D3D" w:rsidP="008F2290">
      <w:pPr>
        <w:autoSpaceDE w:val="0"/>
        <w:autoSpaceDN w:val="0"/>
        <w:adjustRightInd w:val="0"/>
        <w:rPr>
          <w:rFonts w:ascii="Calibri" w:hAnsi="Calibri"/>
          <w:b/>
          <w:color w:val="231F20"/>
          <w:sz w:val="20"/>
          <w:szCs w:val="20"/>
        </w:rPr>
      </w:pPr>
    </w:p>
    <w:p w:rsidR="008F2290" w:rsidRPr="009817DA" w:rsidRDefault="008F2290" w:rsidP="008F2290">
      <w:pPr>
        <w:autoSpaceDE w:val="0"/>
        <w:autoSpaceDN w:val="0"/>
        <w:adjustRightInd w:val="0"/>
        <w:rPr>
          <w:rFonts w:ascii="Calibri" w:hAnsi="Calibri"/>
          <w:color w:val="231F20"/>
          <w:sz w:val="20"/>
          <w:szCs w:val="20"/>
        </w:rPr>
      </w:pPr>
      <w:r w:rsidRPr="009817DA">
        <w:rPr>
          <w:rFonts w:ascii="Calibri" w:hAnsi="Calibri"/>
          <w:b/>
          <w:color w:val="231F20"/>
          <w:sz w:val="20"/>
          <w:szCs w:val="20"/>
        </w:rPr>
        <w:t>Methodology:</w:t>
      </w:r>
    </w:p>
    <w:p w:rsidR="008F2290" w:rsidRPr="009817DA" w:rsidRDefault="008F2290" w:rsidP="008F2290">
      <w:pPr>
        <w:autoSpaceDE w:val="0"/>
        <w:autoSpaceDN w:val="0"/>
        <w:adjustRightInd w:val="0"/>
        <w:rPr>
          <w:rFonts w:ascii="Calibri" w:hAnsi="Calibri"/>
          <w:color w:val="231F20"/>
          <w:sz w:val="20"/>
          <w:szCs w:val="20"/>
        </w:rPr>
      </w:pPr>
      <w:r w:rsidRPr="009817DA">
        <w:rPr>
          <w:rFonts w:ascii="Calibri" w:hAnsi="Calibri"/>
          <w:color w:val="231F20"/>
          <w:sz w:val="20"/>
          <w:szCs w:val="20"/>
          <w:u w:val="single"/>
        </w:rPr>
        <w:t>Inclusion Criteria:</w:t>
      </w:r>
    </w:p>
    <w:p w:rsidR="008F2290" w:rsidRPr="009817DA" w:rsidRDefault="008F229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Adult patients </w:t>
      </w:r>
      <w:r w:rsidR="00F96F5E" w:rsidRPr="009817DA">
        <w:rPr>
          <w:sz w:val="20"/>
          <w:szCs w:val="20"/>
        </w:rPr>
        <w:t xml:space="preserve">(≥18 years of age) </w:t>
      </w:r>
      <w:r w:rsidR="002B1DA3" w:rsidRPr="009817DA">
        <w:rPr>
          <w:sz w:val="20"/>
          <w:szCs w:val="20"/>
        </w:rPr>
        <w:t>with open fractures</w:t>
      </w:r>
      <w:r w:rsidR="002C0F3C">
        <w:rPr>
          <w:sz w:val="20"/>
          <w:szCs w:val="20"/>
        </w:rPr>
        <w:t xml:space="preserve"> admitted</w:t>
      </w:r>
      <w:r w:rsidRPr="009817DA">
        <w:rPr>
          <w:sz w:val="20"/>
          <w:szCs w:val="20"/>
        </w:rPr>
        <w:t xml:space="preserve"> from </w:t>
      </w:r>
      <w:r w:rsidR="002B1DA3" w:rsidRPr="009817DA">
        <w:rPr>
          <w:sz w:val="20"/>
          <w:szCs w:val="20"/>
        </w:rPr>
        <w:t>August 1</w:t>
      </w:r>
      <w:r w:rsidR="007B516A" w:rsidRPr="009817DA">
        <w:rPr>
          <w:sz w:val="20"/>
          <w:szCs w:val="20"/>
        </w:rPr>
        <w:t xml:space="preserve">, </w:t>
      </w:r>
      <w:r w:rsidR="002B1DA3" w:rsidRPr="009817DA">
        <w:rPr>
          <w:sz w:val="20"/>
          <w:szCs w:val="20"/>
        </w:rPr>
        <w:t>2011</w:t>
      </w:r>
      <w:r w:rsidR="007B516A" w:rsidRPr="009817DA">
        <w:rPr>
          <w:sz w:val="20"/>
          <w:szCs w:val="20"/>
        </w:rPr>
        <w:t xml:space="preserve"> </w:t>
      </w:r>
      <w:r w:rsidRPr="009817DA">
        <w:rPr>
          <w:sz w:val="20"/>
          <w:szCs w:val="20"/>
        </w:rPr>
        <w:t>-</w:t>
      </w:r>
      <w:r w:rsidR="007B516A" w:rsidRPr="009817DA">
        <w:rPr>
          <w:sz w:val="20"/>
          <w:szCs w:val="20"/>
        </w:rPr>
        <w:t xml:space="preserve"> Ju</w:t>
      </w:r>
      <w:r w:rsidR="002B1DA3" w:rsidRPr="009817DA">
        <w:rPr>
          <w:sz w:val="20"/>
          <w:szCs w:val="20"/>
        </w:rPr>
        <w:t>ly 31</w:t>
      </w:r>
      <w:r w:rsidR="007B516A" w:rsidRPr="009817DA">
        <w:rPr>
          <w:sz w:val="20"/>
          <w:szCs w:val="20"/>
        </w:rPr>
        <w:t xml:space="preserve">, </w:t>
      </w:r>
      <w:r w:rsidR="002B1DA3" w:rsidRPr="009817DA">
        <w:rPr>
          <w:sz w:val="20"/>
          <w:szCs w:val="20"/>
        </w:rPr>
        <w:t>2012</w:t>
      </w:r>
    </w:p>
    <w:p w:rsidR="008F2290" w:rsidRPr="009817DA" w:rsidRDefault="008F229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Adult patients remaining </w:t>
      </w:r>
      <w:r w:rsidR="003B690E" w:rsidRPr="009817DA">
        <w:rPr>
          <w:sz w:val="20"/>
          <w:szCs w:val="20"/>
        </w:rPr>
        <w:t>i</w:t>
      </w:r>
      <w:r w:rsidRPr="009817DA">
        <w:rPr>
          <w:sz w:val="20"/>
          <w:szCs w:val="20"/>
        </w:rPr>
        <w:t>n T</w:t>
      </w:r>
      <w:r w:rsidR="003B690E" w:rsidRPr="009817DA">
        <w:rPr>
          <w:sz w:val="20"/>
          <w:szCs w:val="20"/>
        </w:rPr>
        <w:t xml:space="preserve">rauma </w:t>
      </w:r>
      <w:r w:rsidR="00726B97">
        <w:rPr>
          <w:sz w:val="20"/>
          <w:szCs w:val="20"/>
        </w:rPr>
        <w:t>U</w:t>
      </w:r>
      <w:r w:rsidR="00D4038B">
        <w:rPr>
          <w:sz w:val="20"/>
          <w:szCs w:val="20"/>
        </w:rPr>
        <w:t>nit</w:t>
      </w:r>
      <w:r w:rsidRPr="009817DA">
        <w:rPr>
          <w:sz w:val="20"/>
          <w:szCs w:val="20"/>
        </w:rPr>
        <w:t xml:space="preserve"> for ≥ </w:t>
      </w:r>
      <w:r w:rsidR="00EC596F" w:rsidRPr="009817DA">
        <w:rPr>
          <w:sz w:val="20"/>
          <w:szCs w:val="20"/>
        </w:rPr>
        <w:t>48</w:t>
      </w:r>
      <w:r w:rsidRPr="009817DA">
        <w:rPr>
          <w:sz w:val="20"/>
          <w:szCs w:val="20"/>
        </w:rPr>
        <w:t xml:space="preserve"> hrs</w:t>
      </w:r>
    </w:p>
    <w:p w:rsidR="008F2290" w:rsidRPr="009817DA" w:rsidRDefault="008F2290" w:rsidP="008F2290">
      <w:pPr>
        <w:autoSpaceDE w:val="0"/>
        <w:autoSpaceDN w:val="0"/>
        <w:adjustRightInd w:val="0"/>
        <w:rPr>
          <w:rFonts w:ascii="Calibri" w:hAnsi="Calibri"/>
          <w:color w:val="231F20"/>
          <w:sz w:val="20"/>
          <w:szCs w:val="20"/>
        </w:rPr>
      </w:pPr>
      <w:r w:rsidRPr="009817DA">
        <w:rPr>
          <w:rFonts w:ascii="Calibri" w:hAnsi="Calibri"/>
          <w:color w:val="231F20"/>
          <w:sz w:val="20"/>
          <w:szCs w:val="20"/>
          <w:u w:val="single"/>
        </w:rPr>
        <w:t>Exclusion Criteria:</w:t>
      </w:r>
    </w:p>
    <w:p w:rsidR="008F2290" w:rsidRPr="009817DA" w:rsidRDefault="001B443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Diagnosis of pneumonia or UTI within 48 hours of admission</w:t>
      </w:r>
    </w:p>
    <w:p w:rsidR="008F2290" w:rsidRPr="009817DA" w:rsidRDefault="001B443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Receipt of intra-abdominal antibiotic protocols </w:t>
      </w:r>
      <w:r w:rsidR="00726B97">
        <w:rPr>
          <w:sz w:val="20"/>
          <w:szCs w:val="20"/>
        </w:rPr>
        <w:t>on admission</w:t>
      </w:r>
    </w:p>
    <w:p w:rsidR="001B4430" w:rsidRPr="009817DA" w:rsidRDefault="001B443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Diagnosis of wound or joint infections on admission</w:t>
      </w:r>
    </w:p>
    <w:p w:rsidR="001B4430" w:rsidRPr="009817DA" w:rsidRDefault="001B443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History of chronic osteomyelitis</w:t>
      </w:r>
    </w:p>
    <w:p w:rsidR="008F2290" w:rsidRPr="009817DA" w:rsidRDefault="008F229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Pregnancy</w:t>
      </w:r>
    </w:p>
    <w:p w:rsidR="008F2290" w:rsidRPr="009817DA" w:rsidRDefault="003B690E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Mortality within </w:t>
      </w:r>
      <w:r w:rsidR="00EC596F" w:rsidRPr="009817DA">
        <w:rPr>
          <w:sz w:val="20"/>
          <w:szCs w:val="20"/>
        </w:rPr>
        <w:t>48</w:t>
      </w:r>
      <w:r w:rsidR="008F2290" w:rsidRPr="009817DA">
        <w:rPr>
          <w:sz w:val="20"/>
          <w:szCs w:val="20"/>
        </w:rPr>
        <w:t xml:space="preserve"> hrs </w:t>
      </w:r>
      <w:r w:rsidRPr="009817DA">
        <w:rPr>
          <w:sz w:val="20"/>
          <w:szCs w:val="20"/>
        </w:rPr>
        <w:t>of</w:t>
      </w:r>
      <w:r w:rsidR="008F2290" w:rsidRPr="009817DA">
        <w:rPr>
          <w:sz w:val="20"/>
          <w:szCs w:val="20"/>
        </w:rPr>
        <w:t xml:space="preserve"> admission</w:t>
      </w:r>
    </w:p>
    <w:p w:rsidR="00F96F5E" w:rsidRPr="009817DA" w:rsidRDefault="00F96F5E" w:rsidP="008F2290">
      <w:pPr>
        <w:pStyle w:val="MediumGrid1-Accent21"/>
        <w:ind w:left="0"/>
        <w:rPr>
          <w:sz w:val="20"/>
          <w:szCs w:val="20"/>
          <w:u w:val="single"/>
        </w:rPr>
      </w:pPr>
    </w:p>
    <w:p w:rsidR="008F2290" w:rsidRPr="009817DA" w:rsidRDefault="008F2290" w:rsidP="008F2290">
      <w:pPr>
        <w:pStyle w:val="MediumGrid1-Accent21"/>
        <w:ind w:left="0"/>
        <w:rPr>
          <w:sz w:val="20"/>
          <w:szCs w:val="20"/>
          <w:u w:val="single"/>
        </w:rPr>
      </w:pPr>
      <w:r w:rsidRPr="009817DA">
        <w:rPr>
          <w:sz w:val="20"/>
          <w:szCs w:val="20"/>
          <w:u w:val="single"/>
        </w:rPr>
        <w:t>Retrospective Data:</w:t>
      </w:r>
    </w:p>
    <w:p w:rsidR="008F2290" w:rsidRPr="009817DA" w:rsidRDefault="008F2290" w:rsidP="00B30EDE">
      <w:pPr>
        <w:pStyle w:val="MediumGrid1-Accent21"/>
        <w:numPr>
          <w:ilvl w:val="0"/>
          <w:numId w:val="6"/>
        </w:numPr>
        <w:rPr>
          <w:sz w:val="20"/>
          <w:szCs w:val="20"/>
          <w:u w:val="single"/>
        </w:rPr>
      </w:pPr>
      <w:r w:rsidRPr="009817DA">
        <w:rPr>
          <w:sz w:val="20"/>
          <w:szCs w:val="20"/>
        </w:rPr>
        <w:t xml:space="preserve">Data </w:t>
      </w:r>
      <w:r w:rsidR="00D4038B">
        <w:rPr>
          <w:sz w:val="20"/>
          <w:szCs w:val="20"/>
        </w:rPr>
        <w:t xml:space="preserve">from August 1, 2011- July 31, 2012 </w:t>
      </w:r>
      <w:r w:rsidRPr="009817DA">
        <w:rPr>
          <w:sz w:val="20"/>
          <w:szCs w:val="20"/>
        </w:rPr>
        <w:t>will be col</w:t>
      </w:r>
      <w:r w:rsidR="001B4430" w:rsidRPr="009817DA">
        <w:rPr>
          <w:sz w:val="20"/>
          <w:szCs w:val="20"/>
        </w:rPr>
        <w:t xml:space="preserve">lected retrospectively </w:t>
      </w:r>
      <w:r w:rsidRPr="009817DA">
        <w:rPr>
          <w:sz w:val="20"/>
          <w:szCs w:val="20"/>
        </w:rPr>
        <w:t>using TRACS</w:t>
      </w:r>
      <w:r w:rsidR="00C24F1E" w:rsidRPr="009817DA">
        <w:rPr>
          <w:sz w:val="20"/>
          <w:szCs w:val="20"/>
        </w:rPr>
        <w:t>,</w:t>
      </w:r>
      <w:r w:rsidRPr="009817DA">
        <w:rPr>
          <w:sz w:val="20"/>
          <w:szCs w:val="20"/>
        </w:rPr>
        <w:t xml:space="preserve"> </w:t>
      </w:r>
      <w:proofErr w:type="spellStart"/>
      <w:r w:rsidRPr="009817DA">
        <w:rPr>
          <w:sz w:val="20"/>
          <w:szCs w:val="20"/>
        </w:rPr>
        <w:t>Medipac</w:t>
      </w:r>
      <w:proofErr w:type="spellEnd"/>
      <w:r w:rsidR="001B4430" w:rsidRPr="009817DA">
        <w:rPr>
          <w:sz w:val="20"/>
          <w:szCs w:val="20"/>
        </w:rPr>
        <w:t xml:space="preserve">, </w:t>
      </w:r>
      <w:proofErr w:type="spellStart"/>
      <w:r w:rsidR="00726B97">
        <w:rPr>
          <w:sz w:val="20"/>
          <w:szCs w:val="20"/>
        </w:rPr>
        <w:t>Star</w:t>
      </w:r>
      <w:r w:rsidR="00B563C0" w:rsidRPr="009817DA">
        <w:rPr>
          <w:sz w:val="20"/>
          <w:szCs w:val="20"/>
        </w:rPr>
        <w:t>Panel</w:t>
      </w:r>
      <w:proofErr w:type="spellEnd"/>
      <w:r w:rsidR="001B4430" w:rsidRPr="009817DA">
        <w:rPr>
          <w:sz w:val="20"/>
          <w:szCs w:val="20"/>
        </w:rPr>
        <w:t xml:space="preserve">, and the </w:t>
      </w:r>
      <w:r w:rsidR="00726B97">
        <w:rPr>
          <w:sz w:val="20"/>
          <w:szCs w:val="20"/>
        </w:rPr>
        <w:t xml:space="preserve">Trauma </w:t>
      </w:r>
      <w:r w:rsidR="001B4430" w:rsidRPr="009817DA">
        <w:rPr>
          <w:sz w:val="20"/>
          <w:szCs w:val="20"/>
        </w:rPr>
        <w:t>ICU database</w:t>
      </w:r>
      <w:r w:rsidR="006A7D9E" w:rsidRPr="009817DA">
        <w:rPr>
          <w:sz w:val="20"/>
          <w:szCs w:val="20"/>
        </w:rPr>
        <w:t>.</w:t>
      </w:r>
    </w:p>
    <w:p w:rsidR="00B563C0" w:rsidRPr="009817DA" w:rsidRDefault="00B563C0" w:rsidP="00B563C0">
      <w:pPr>
        <w:pStyle w:val="MediumGrid1-Accent21"/>
        <w:rPr>
          <w:sz w:val="20"/>
          <w:szCs w:val="20"/>
          <w:u w:val="single"/>
        </w:rPr>
      </w:pPr>
    </w:p>
    <w:p w:rsidR="00207907" w:rsidRDefault="008F2290" w:rsidP="008F2290">
      <w:pPr>
        <w:pStyle w:val="MediumGrid1-Accent21"/>
        <w:ind w:left="0" w:firstLine="720"/>
        <w:rPr>
          <w:sz w:val="20"/>
          <w:szCs w:val="20"/>
        </w:rPr>
      </w:pPr>
      <w:r w:rsidRPr="009817DA">
        <w:rPr>
          <w:sz w:val="20"/>
          <w:szCs w:val="20"/>
        </w:rPr>
        <w:t>The</w:t>
      </w:r>
      <w:r w:rsidR="006F2F54" w:rsidRPr="009817DA">
        <w:rPr>
          <w:sz w:val="20"/>
          <w:szCs w:val="20"/>
        </w:rPr>
        <w:t xml:space="preserve"> antibiotic</w:t>
      </w:r>
      <w:r w:rsidRPr="009817DA">
        <w:rPr>
          <w:sz w:val="20"/>
          <w:szCs w:val="20"/>
        </w:rPr>
        <w:t xml:space="preserve"> </w:t>
      </w:r>
      <w:r w:rsidR="006F2F54" w:rsidRPr="009817DA">
        <w:rPr>
          <w:sz w:val="20"/>
          <w:szCs w:val="20"/>
        </w:rPr>
        <w:t>protocol group (AP</w:t>
      </w:r>
      <w:r w:rsidRPr="009817DA">
        <w:rPr>
          <w:sz w:val="20"/>
          <w:szCs w:val="20"/>
        </w:rPr>
        <w:t>+) will consist of pat</w:t>
      </w:r>
      <w:r w:rsidR="006F2F54" w:rsidRPr="009817DA">
        <w:rPr>
          <w:sz w:val="20"/>
          <w:szCs w:val="20"/>
        </w:rPr>
        <w:t xml:space="preserve">ients admitted to </w:t>
      </w:r>
      <w:r w:rsidR="0040063E" w:rsidRPr="00FF3F89">
        <w:rPr>
          <w:sz w:val="20"/>
          <w:szCs w:val="20"/>
        </w:rPr>
        <w:t xml:space="preserve">the </w:t>
      </w:r>
      <w:r w:rsidR="006F2F54" w:rsidRPr="00FF3F89">
        <w:rPr>
          <w:sz w:val="20"/>
          <w:szCs w:val="20"/>
        </w:rPr>
        <w:t>Trauma</w:t>
      </w:r>
      <w:r w:rsidR="0040063E" w:rsidRPr="00FF3F89">
        <w:rPr>
          <w:sz w:val="20"/>
          <w:szCs w:val="20"/>
        </w:rPr>
        <w:t xml:space="preserve"> Unit</w:t>
      </w:r>
      <w:r w:rsidR="006F2F54" w:rsidRPr="009817DA">
        <w:rPr>
          <w:sz w:val="20"/>
          <w:szCs w:val="20"/>
        </w:rPr>
        <w:t xml:space="preserve"> </w:t>
      </w:r>
      <w:r w:rsidRPr="009817DA">
        <w:rPr>
          <w:sz w:val="20"/>
          <w:szCs w:val="20"/>
        </w:rPr>
        <w:t xml:space="preserve">from </w:t>
      </w:r>
      <w:r w:rsidR="006F2F54" w:rsidRPr="009817DA">
        <w:rPr>
          <w:sz w:val="20"/>
          <w:szCs w:val="20"/>
        </w:rPr>
        <w:t xml:space="preserve">August 1, </w:t>
      </w:r>
      <w:r w:rsidRPr="009817DA">
        <w:rPr>
          <w:sz w:val="20"/>
          <w:szCs w:val="20"/>
        </w:rPr>
        <w:t>2011</w:t>
      </w:r>
      <w:r w:rsidR="006F2F54" w:rsidRPr="009817DA">
        <w:rPr>
          <w:sz w:val="20"/>
          <w:szCs w:val="20"/>
        </w:rPr>
        <w:t xml:space="preserve"> to July 31, 2012</w:t>
      </w:r>
      <w:r w:rsidRPr="009817DA">
        <w:rPr>
          <w:sz w:val="20"/>
          <w:szCs w:val="20"/>
        </w:rPr>
        <w:t xml:space="preserve"> who received the </w:t>
      </w:r>
      <w:r w:rsidR="006F2F54" w:rsidRPr="009817DA">
        <w:rPr>
          <w:sz w:val="20"/>
          <w:szCs w:val="20"/>
        </w:rPr>
        <w:t>open fracture prophylactic an</w:t>
      </w:r>
      <w:r w:rsidRPr="009817DA">
        <w:rPr>
          <w:sz w:val="20"/>
          <w:szCs w:val="20"/>
        </w:rPr>
        <w:t>t</w:t>
      </w:r>
      <w:r w:rsidR="006F2F54" w:rsidRPr="009817DA">
        <w:rPr>
          <w:sz w:val="20"/>
          <w:szCs w:val="20"/>
        </w:rPr>
        <w:t>ibiotics protocol</w:t>
      </w:r>
      <w:r w:rsidRPr="009817DA">
        <w:rPr>
          <w:sz w:val="20"/>
          <w:szCs w:val="20"/>
        </w:rPr>
        <w:t>.  The non-</w:t>
      </w:r>
      <w:r w:rsidR="006F2F54" w:rsidRPr="009817DA">
        <w:rPr>
          <w:sz w:val="20"/>
          <w:szCs w:val="20"/>
        </w:rPr>
        <w:t>antibiotic protocol</w:t>
      </w:r>
      <w:r w:rsidRPr="009817DA">
        <w:rPr>
          <w:sz w:val="20"/>
          <w:szCs w:val="20"/>
        </w:rPr>
        <w:t xml:space="preserve"> group </w:t>
      </w:r>
      <w:r w:rsidR="006F2F54" w:rsidRPr="009817DA">
        <w:rPr>
          <w:sz w:val="20"/>
          <w:szCs w:val="20"/>
        </w:rPr>
        <w:t>(AP</w:t>
      </w:r>
      <w:r w:rsidR="003B690E" w:rsidRPr="009817DA">
        <w:rPr>
          <w:sz w:val="20"/>
          <w:szCs w:val="20"/>
        </w:rPr>
        <w:t xml:space="preserve">-) </w:t>
      </w:r>
      <w:r w:rsidRPr="009817DA">
        <w:rPr>
          <w:sz w:val="20"/>
          <w:szCs w:val="20"/>
        </w:rPr>
        <w:t>will consist of pat</w:t>
      </w:r>
      <w:r w:rsidR="006F2F54" w:rsidRPr="009817DA">
        <w:rPr>
          <w:sz w:val="20"/>
          <w:szCs w:val="20"/>
        </w:rPr>
        <w:t xml:space="preserve">ients admitted to Trauma during the same period </w:t>
      </w:r>
      <w:r w:rsidR="00055108">
        <w:rPr>
          <w:sz w:val="20"/>
          <w:szCs w:val="20"/>
        </w:rPr>
        <w:t xml:space="preserve">in whom the </w:t>
      </w:r>
      <w:r w:rsidR="006F2F54" w:rsidRPr="009817DA">
        <w:rPr>
          <w:sz w:val="20"/>
          <w:szCs w:val="20"/>
        </w:rPr>
        <w:t>open fracture prophylactic antibiotics protocol</w:t>
      </w:r>
      <w:r w:rsidR="00055108">
        <w:rPr>
          <w:sz w:val="20"/>
          <w:szCs w:val="20"/>
        </w:rPr>
        <w:t xml:space="preserve"> was not followed</w:t>
      </w:r>
      <w:r w:rsidR="006F2F54" w:rsidRPr="009817DA">
        <w:rPr>
          <w:sz w:val="20"/>
          <w:szCs w:val="20"/>
        </w:rPr>
        <w:t xml:space="preserve">.  </w:t>
      </w:r>
      <w:r w:rsidR="00A83B3E">
        <w:rPr>
          <w:sz w:val="20"/>
          <w:szCs w:val="20"/>
        </w:rPr>
        <w:t>Protocol noncompliance will be subdivided based on</w:t>
      </w:r>
      <w:r w:rsidR="001E21F5">
        <w:rPr>
          <w:sz w:val="20"/>
          <w:szCs w:val="20"/>
        </w:rPr>
        <w:t xml:space="preserve"> deviations in</w:t>
      </w:r>
      <w:r w:rsidR="00A83B3E">
        <w:rPr>
          <w:sz w:val="20"/>
          <w:szCs w:val="20"/>
        </w:rPr>
        <w:t xml:space="preserve"> choice of antibiotic</w:t>
      </w:r>
      <w:r w:rsidR="001E21F5">
        <w:rPr>
          <w:sz w:val="20"/>
          <w:szCs w:val="20"/>
        </w:rPr>
        <w:t>(s)</w:t>
      </w:r>
      <w:r w:rsidR="00A83B3E">
        <w:rPr>
          <w:sz w:val="20"/>
          <w:szCs w:val="20"/>
        </w:rPr>
        <w:t>,</w:t>
      </w:r>
      <w:r w:rsidR="001E21F5">
        <w:rPr>
          <w:sz w:val="20"/>
          <w:szCs w:val="20"/>
        </w:rPr>
        <w:t xml:space="preserve"> duration of therapy,</w:t>
      </w:r>
      <w:r w:rsidR="00A83B3E">
        <w:rPr>
          <w:sz w:val="20"/>
          <w:szCs w:val="20"/>
        </w:rPr>
        <w:t xml:space="preserve"> and </w:t>
      </w:r>
      <w:r w:rsidR="00D4038B">
        <w:rPr>
          <w:sz w:val="20"/>
          <w:szCs w:val="20"/>
        </w:rPr>
        <w:t xml:space="preserve">choice of </w:t>
      </w:r>
      <w:r w:rsidR="00A83B3E">
        <w:rPr>
          <w:sz w:val="20"/>
          <w:szCs w:val="20"/>
        </w:rPr>
        <w:t xml:space="preserve">regimen for fracture grade. </w:t>
      </w:r>
      <w:r w:rsidR="000C6476">
        <w:rPr>
          <w:sz w:val="20"/>
          <w:szCs w:val="20"/>
        </w:rPr>
        <w:t xml:space="preserve"> </w:t>
      </w:r>
      <w:r w:rsidRPr="009817DA">
        <w:rPr>
          <w:sz w:val="20"/>
          <w:szCs w:val="20"/>
        </w:rPr>
        <w:t xml:space="preserve">Patients experiencing an </w:t>
      </w:r>
      <w:r w:rsidR="006F2F54" w:rsidRPr="009817DA">
        <w:rPr>
          <w:sz w:val="20"/>
          <w:szCs w:val="20"/>
        </w:rPr>
        <w:t xml:space="preserve">infection </w:t>
      </w:r>
      <w:r w:rsidR="00A83B3E">
        <w:rPr>
          <w:sz w:val="20"/>
          <w:szCs w:val="20"/>
        </w:rPr>
        <w:t xml:space="preserve">will be identified through the Trauma database and chart review.  </w:t>
      </w:r>
      <w:r w:rsidRPr="009817DA">
        <w:rPr>
          <w:sz w:val="20"/>
          <w:szCs w:val="20"/>
        </w:rPr>
        <w:t xml:space="preserve">For these patients, in-depth chart reviews will be </w:t>
      </w:r>
      <w:r w:rsidR="00726B97">
        <w:rPr>
          <w:sz w:val="20"/>
          <w:szCs w:val="20"/>
        </w:rPr>
        <w:t>us</w:t>
      </w:r>
      <w:r w:rsidRPr="009817DA">
        <w:rPr>
          <w:sz w:val="20"/>
          <w:szCs w:val="20"/>
        </w:rPr>
        <w:t xml:space="preserve">ed to determine the type of </w:t>
      </w:r>
      <w:r w:rsidR="00A83B3E">
        <w:rPr>
          <w:sz w:val="20"/>
          <w:szCs w:val="20"/>
        </w:rPr>
        <w:t>infection,</w:t>
      </w:r>
      <w:r w:rsidR="00726B97">
        <w:rPr>
          <w:sz w:val="20"/>
          <w:szCs w:val="20"/>
        </w:rPr>
        <w:t xml:space="preserve"> </w:t>
      </w:r>
      <w:r w:rsidRPr="009817DA">
        <w:rPr>
          <w:sz w:val="20"/>
          <w:szCs w:val="20"/>
        </w:rPr>
        <w:t>time to occurrence of</w:t>
      </w:r>
      <w:r w:rsidR="006F2F54" w:rsidRPr="009817DA">
        <w:rPr>
          <w:sz w:val="20"/>
          <w:szCs w:val="20"/>
        </w:rPr>
        <w:t xml:space="preserve"> the infection</w:t>
      </w:r>
      <w:r w:rsidR="00A83B3E">
        <w:rPr>
          <w:sz w:val="20"/>
          <w:szCs w:val="20"/>
        </w:rPr>
        <w:t>, and rate of resistance</w:t>
      </w:r>
      <w:r w:rsidRPr="009817DA">
        <w:rPr>
          <w:sz w:val="20"/>
          <w:szCs w:val="20"/>
        </w:rPr>
        <w:t xml:space="preserve">. </w:t>
      </w:r>
      <w:r w:rsidR="00B563C0" w:rsidRPr="009817DA">
        <w:rPr>
          <w:sz w:val="20"/>
          <w:szCs w:val="20"/>
        </w:rPr>
        <w:t xml:space="preserve"> </w:t>
      </w:r>
      <w:r w:rsidR="00A83B3E">
        <w:rPr>
          <w:sz w:val="20"/>
          <w:szCs w:val="20"/>
        </w:rPr>
        <w:t xml:space="preserve">Resistant infections will be classified </w:t>
      </w:r>
      <w:r w:rsidR="00FF042C">
        <w:rPr>
          <w:sz w:val="20"/>
          <w:szCs w:val="20"/>
        </w:rPr>
        <w:t>according to</w:t>
      </w:r>
      <w:r w:rsidR="00A83B3E">
        <w:rPr>
          <w:sz w:val="20"/>
          <w:szCs w:val="20"/>
        </w:rPr>
        <w:t xml:space="preserve"> the Centers for Disease Control (CDC) definition of </w:t>
      </w:r>
      <w:r w:rsidR="0097796D">
        <w:rPr>
          <w:sz w:val="20"/>
          <w:szCs w:val="20"/>
        </w:rPr>
        <w:t>multi-drug resistant (MDR) organisms</w:t>
      </w:r>
      <w:r w:rsidR="00D4038B">
        <w:rPr>
          <w:sz w:val="20"/>
          <w:szCs w:val="20"/>
        </w:rPr>
        <w:t xml:space="preserve">: </w:t>
      </w:r>
      <w:r w:rsidR="0097796D">
        <w:rPr>
          <w:sz w:val="20"/>
          <w:szCs w:val="20"/>
        </w:rPr>
        <w:t xml:space="preserve"> organisms that are resistant to one or more classes of antibiotics</w:t>
      </w:r>
      <w:r w:rsidR="00D4038B" w:rsidRPr="00D4038B">
        <w:rPr>
          <w:sz w:val="20"/>
          <w:szCs w:val="20"/>
          <w:vertAlign w:val="superscript"/>
        </w:rPr>
        <w:t>5</w:t>
      </w:r>
      <w:r w:rsidR="0097796D">
        <w:rPr>
          <w:sz w:val="20"/>
          <w:szCs w:val="20"/>
        </w:rPr>
        <w:t>.</w:t>
      </w:r>
      <w:r w:rsidR="000C6476">
        <w:rPr>
          <w:sz w:val="20"/>
          <w:szCs w:val="20"/>
        </w:rPr>
        <w:t xml:space="preserve">  </w:t>
      </w:r>
    </w:p>
    <w:p w:rsidR="00207907" w:rsidRDefault="00207907" w:rsidP="008F2290">
      <w:pPr>
        <w:pStyle w:val="MediumGrid1-Accent21"/>
        <w:ind w:left="0" w:firstLine="720"/>
        <w:rPr>
          <w:sz w:val="20"/>
          <w:szCs w:val="20"/>
        </w:rPr>
      </w:pPr>
    </w:p>
    <w:p w:rsidR="002B0F3C" w:rsidRDefault="002B0F3C">
      <w:pPr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br w:type="page"/>
      </w:r>
    </w:p>
    <w:p w:rsidR="00207907" w:rsidRDefault="00207907" w:rsidP="00207907">
      <w:pPr>
        <w:pStyle w:val="MediumGrid1-Accent21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OPEN FRACTURE PROPHYLACTIC ANTIBIOTIC PROTOCOL:</w:t>
      </w:r>
    </w:p>
    <w:tbl>
      <w:tblPr>
        <w:tblStyle w:val="TableGrid"/>
        <w:tblW w:w="0" w:type="auto"/>
        <w:tblLook w:val="00BF"/>
      </w:tblPr>
      <w:tblGrid>
        <w:gridCol w:w="1458"/>
        <w:gridCol w:w="3780"/>
        <w:gridCol w:w="3618"/>
      </w:tblGrid>
      <w:tr w:rsidR="00A052FE">
        <w:tc>
          <w:tcPr>
            <w:tcW w:w="1458" w:type="dxa"/>
          </w:tcPr>
          <w:p w:rsidR="00A052FE" w:rsidRDefault="00A052FE" w:rsidP="00207907">
            <w:pPr>
              <w:pStyle w:val="MediumGrid1-Accent21"/>
              <w:ind w:left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052FE" w:rsidRPr="002B0F3C" w:rsidRDefault="00A052FE" w:rsidP="002B0F3C">
            <w:pPr>
              <w:pStyle w:val="MediumGrid1-Accent21"/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B0F3C">
              <w:rPr>
                <w:b/>
                <w:sz w:val="20"/>
                <w:szCs w:val="20"/>
              </w:rPr>
              <w:t>January- June</w:t>
            </w:r>
          </w:p>
        </w:tc>
        <w:tc>
          <w:tcPr>
            <w:tcW w:w="3618" w:type="dxa"/>
          </w:tcPr>
          <w:p w:rsidR="00A052FE" w:rsidRPr="002B0F3C" w:rsidRDefault="00A052FE" w:rsidP="002B0F3C">
            <w:pPr>
              <w:pStyle w:val="MediumGrid1-Accent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B0F3C">
              <w:rPr>
                <w:b/>
                <w:sz w:val="20"/>
                <w:szCs w:val="20"/>
              </w:rPr>
              <w:t>July- December</w:t>
            </w:r>
          </w:p>
        </w:tc>
      </w:tr>
      <w:tr w:rsidR="00A052FE">
        <w:tc>
          <w:tcPr>
            <w:tcW w:w="1458" w:type="dxa"/>
          </w:tcPr>
          <w:p w:rsidR="00A052FE" w:rsidRPr="002B0F3C" w:rsidRDefault="00A052FE" w:rsidP="00207907">
            <w:pPr>
              <w:pStyle w:val="MediumGrid1-Accent21"/>
              <w:ind w:left="0"/>
              <w:rPr>
                <w:b/>
                <w:sz w:val="20"/>
                <w:szCs w:val="20"/>
              </w:rPr>
            </w:pPr>
            <w:r w:rsidRPr="002B0F3C">
              <w:rPr>
                <w:b/>
                <w:sz w:val="20"/>
                <w:szCs w:val="20"/>
              </w:rPr>
              <w:t>Grades I and II</w:t>
            </w:r>
          </w:p>
        </w:tc>
        <w:tc>
          <w:tcPr>
            <w:tcW w:w="7398" w:type="dxa"/>
            <w:gridSpan w:val="2"/>
          </w:tcPr>
          <w:p w:rsidR="00A052FE" w:rsidRDefault="00A052FE" w:rsidP="00A82C8D">
            <w:pPr>
              <w:pStyle w:val="MediumGrid1-Accent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Cefazolin</w:t>
            </w:r>
            <w:proofErr w:type="spellEnd"/>
            <w:r>
              <w:rPr>
                <w:sz w:val="20"/>
                <w:szCs w:val="20"/>
              </w:rPr>
              <w:t xml:space="preserve"> 2 grams IV now and q8h x 3 doses</w:t>
            </w:r>
          </w:p>
          <w:p w:rsidR="00A052FE" w:rsidRDefault="00A052FE" w:rsidP="00A82C8D">
            <w:pPr>
              <w:pStyle w:val="MediumGrid1-Accent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Penicillin allergic:  </w:t>
            </w:r>
            <w:proofErr w:type="spellStart"/>
            <w:r>
              <w:rPr>
                <w:sz w:val="20"/>
                <w:szCs w:val="20"/>
              </w:rPr>
              <w:t>clindamycin</w:t>
            </w:r>
            <w:proofErr w:type="spellEnd"/>
            <w:r>
              <w:rPr>
                <w:sz w:val="20"/>
                <w:szCs w:val="20"/>
              </w:rPr>
              <w:t xml:space="preserve"> 900 mg IV now and q8h x 3 doses</w:t>
            </w:r>
          </w:p>
        </w:tc>
      </w:tr>
      <w:tr w:rsidR="00A052FE">
        <w:tc>
          <w:tcPr>
            <w:tcW w:w="1458" w:type="dxa"/>
          </w:tcPr>
          <w:p w:rsidR="00A052FE" w:rsidRPr="002B0F3C" w:rsidRDefault="00A052FE" w:rsidP="00207907">
            <w:pPr>
              <w:pStyle w:val="MediumGrid1-Accent21"/>
              <w:ind w:left="0"/>
              <w:rPr>
                <w:b/>
                <w:sz w:val="20"/>
                <w:szCs w:val="20"/>
              </w:rPr>
            </w:pPr>
            <w:r w:rsidRPr="002B0F3C">
              <w:rPr>
                <w:b/>
                <w:sz w:val="20"/>
                <w:szCs w:val="20"/>
              </w:rPr>
              <w:t>Grade III</w:t>
            </w:r>
          </w:p>
        </w:tc>
        <w:tc>
          <w:tcPr>
            <w:tcW w:w="3780" w:type="dxa"/>
          </w:tcPr>
          <w:p w:rsidR="00A052FE" w:rsidRDefault="00A052FE" w:rsidP="002B0F3C">
            <w:pPr>
              <w:pStyle w:val="MediumGrid1-Accent21"/>
              <w:numPr>
                <w:ilvl w:val="0"/>
                <w:numId w:val="10"/>
              </w:numPr>
              <w:ind w:left="252" w:hanging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Vancomycin</w:t>
            </w:r>
            <w:proofErr w:type="spellEnd"/>
            <w:r>
              <w:rPr>
                <w:sz w:val="20"/>
                <w:szCs w:val="20"/>
              </w:rPr>
              <w:t xml:space="preserve"> per HEO dosing advisor x 24h</w:t>
            </w:r>
          </w:p>
          <w:p w:rsidR="00A052FE" w:rsidRDefault="00A052FE" w:rsidP="002B0F3C">
            <w:pPr>
              <w:pStyle w:val="MediumGrid1-Accent21"/>
              <w:numPr>
                <w:ilvl w:val="0"/>
                <w:numId w:val="10"/>
              </w:numPr>
              <w:ind w:left="252" w:hanging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ceftriaxone</w:t>
            </w:r>
            <w:proofErr w:type="spellEnd"/>
            <w:r>
              <w:rPr>
                <w:sz w:val="20"/>
                <w:szCs w:val="20"/>
              </w:rPr>
              <w:t xml:space="preserve"> 2 grams IV now and q24h x 1</w:t>
            </w:r>
          </w:p>
          <w:p w:rsidR="00A052FE" w:rsidRDefault="00A052FE" w:rsidP="002B0F3C">
            <w:pPr>
              <w:pStyle w:val="MediumGrid1-Accent21"/>
              <w:numPr>
                <w:ilvl w:val="0"/>
                <w:numId w:val="10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Penicillin allergic:  </w:t>
            </w:r>
            <w:proofErr w:type="spellStart"/>
            <w:r>
              <w:rPr>
                <w:sz w:val="20"/>
                <w:szCs w:val="20"/>
              </w:rPr>
              <w:t>aztreonam</w:t>
            </w:r>
            <w:proofErr w:type="spellEnd"/>
            <w:r>
              <w:rPr>
                <w:sz w:val="20"/>
                <w:szCs w:val="20"/>
              </w:rPr>
              <w:t xml:space="preserve"> 1 gram now and q6h x </w:t>
            </w:r>
            <w:r w:rsidR="002B0F3C">
              <w:rPr>
                <w:sz w:val="20"/>
                <w:szCs w:val="20"/>
              </w:rPr>
              <w:t>3</w:t>
            </w:r>
          </w:p>
        </w:tc>
        <w:tc>
          <w:tcPr>
            <w:tcW w:w="3618" w:type="dxa"/>
          </w:tcPr>
          <w:p w:rsidR="002B0F3C" w:rsidRDefault="00A052FE" w:rsidP="002B0F3C">
            <w:pPr>
              <w:pStyle w:val="MediumGrid1-Accent21"/>
              <w:numPr>
                <w:ilvl w:val="0"/>
                <w:numId w:val="10"/>
              </w:numPr>
              <w:ind w:left="252" w:hanging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Vancomycin</w:t>
            </w:r>
            <w:proofErr w:type="spellEnd"/>
            <w:r>
              <w:rPr>
                <w:sz w:val="20"/>
                <w:szCs w:val="20"/>
              </w:rPr>
              <w:t xml:space="preserve"> per HEO dosing advisor x 24h</w:t>
            </w:r>
          </w:p>
          <w:p w:rsidR="00A052FE" w:rsidRPr="002B0F3C" w:rsidRDefault="002B0F3C" w:rsidP="002B0F3C">
            <w:pPr>
              <w:pStyle w:val="MediumGrid1-Accent21"/>
              <w:numPr>
                <w:ilvl w:val="0"/>
                <w:numId w:val="10"/>
              </w:numPr>
              <w:ind w:left="252" w:hanging="2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levofloxacin</w:t>
            </w:r>
            <w:proofErr w:type="spellEnd"/>
            <w:r>
              <w:rPr>
                <w:sz w:val="20"/>
                <w:szCs w:val="20"/>
              </w:rPr>
              <w:t xml:space="preserve"> 750 mg IV now and q24h x 1</w:t>
            </w:r>
          </w:p>
        </w:tc>
      </w:tr>
      <w:tr w:rsidR="002B0F3C">
        <w:tc>
          <w:tcPr>
            <w:tcW w:w="1458" w:type="dxa"/>
          </w:tcPr>
          <w:p w:rsidR="002B0F3C" w:rsidRPr="002B0F3C" w:rsidRDefault="002B0F3C" w:rsidP="00207907">
            <w:pPr>
              <w:pStyle w:val="MediumGrid1-Accent21"/>
              <w:ind w:left="0"/>
              <w:rPr>
                <w:b/>
                <w:sz w:val="20"/>
                <w:szCs w:val="20"/>
              </w:rPr>
            </w:pPr>
            <w:r w:rsidRPr="002B0F3C">
              <w:rPr>
                <w:b/>
                <w:sz w:val="20"/>
                <w:szCs w:val="20"/>
              </w:rPr>
              <w:t>Critically Ill “SICK”</w:t>
            </w:r>
          </w:p>
        </w:tc>
        <w:tc>
          <w:tcPr>
            <w:tcW w:w="7398" w:type="dxa"/>
            <w:gridSpan w:val="2"/>
          </w:tcPr>
          <w:p w:rsidR="002B0F3C" w:rsidRDefault="002B0F3C" w:rsidP="002B0F3C">
            <w:pPr>
              <w:pStyle w:val="MediumGrid1-Accent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antibiotics x 24h and repeat prior to each debridement</w:t>
            </w:r>
          </w:p>
          <w:p w:rsidR="002B0F3C" w:rsidRDefault="002B0F3C" w:rsidP="002B0F3C">
            <w:pPr>
              <w:pStyle w:val="MediumGrid1-Accent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will attempt to be closed within 72h</w:t>
            </w:r>
          </w:p>
        </w:tc>
      </w:tr>
    </w:tbl>
    <w:p w:rsidR="00207907" w:rsidRDefault="00207907" w:rsidP="00207907">
      <w:pPr>
        <w:pStyle w:val="MediumGrid1-Accent21"/>
        <w:ind w:left="0"/>
        <w:rPr>
          <w:sz w:val="20"/>
          <w:szCs w:val="20"/>
        </w:rPr>
      </w:pPr>
    </w:p>
    <w:p w:rsidR="00AB2E11" w:rsidRDefault="00AB2E11" w:rsidP="00CA20E0">
      <w:pPr>
        <w:pStyle w:val="MediumGrid1-Accent21"/>
        <w:ind w:left="0"/>
        <w:rPr>
          <w:b/>
          <w:noProof/>
          <w:sz w:val="20"/>
          <w:szCs w:val="20"/>
        </w:rPr>
      </w:pPr>
    </w:p>
    <w:p w:rsidR="00AB2E11" w:rsidRPr="00207907" w:rsidRDefault="00207907" w:rsidP="00CA20E0">
      <w:pPr>
        <w:rPr>
          <w:rFonts w:asciiTheme="minorHAnsi" w:eastAsia="Calibr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PATIENT SELECTION:</w:t>
      </w:r>
    </w:p>
    <w:p w:rsidR="008F2290" w:rsidRPr="009817DA" w:rsidRDefault="008F2290" w:rsidP="00AB2E11">
      <w:pPr>
        <w:pStyle w:val="MediumGrid1-Accent21"/>
        <w:ind w:left="0"/>
        <w:rPr>
          <w:sz w:val="20"/>
          <w:szCs w:val="20"/>
        </w:rPr>
      </w:pPr>
    </w:p>
    <w:p w:rsidR="00AB2E11" w:rsidRDefault="00AB2E11" w:rsidP="008F2290">
      <w:pPr>
        <w:rPr>
          <w:rFonts w:ascii="Calibri" w:hAnsi="Calibri"/>
          <w:b/>
          <w:sz w:val="20"/>
          <w:szCs w:val="20"/>
        </w:rPr>
      </w:pPr>
      <w:r w:rsidRPr="000A5F15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821680" cy="3949700"/>
            <wp:effectExtent l="0" t="38100" r="0" b="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B2E11" w:rsidRDefault="00AB2E11" w:rsidP="008F2290">
      <w:pPr>
        <w:rPr>
          <w:rFonts w:ascii="Calibri" w:hAnsi="Calibri"/>
          <w:b/>
          <w:sz w:val="20"/>
          <w:szCs w:val="20"/>
        </w:rPr>
      </w:pPr>
    </w:p>
    <w:p w:rsidR="002B0F3C" w:rsidRDefault="002B0F3C" w:rsidP="008F2290">
      <w:pPr>
        <w:rPr>
          <w:rFonts w:ascii="Calibri" w:hAnsi="Calibri"/>
          <w:b/>
          <w:sz w:val="20"/>
          <w:szCs w:val="20"/>
        </w:rPr>
      </w:pPr>
    </w:p>
    <w:p w:rsidR="002B0F3C" w:rsidRDefault="002B0F3C">
      <w:pPr>
        <w:rPr>
          <w:rFonts w:ascii="Calibri" w:hAnsi="Calibri"/>
          <w:b/>
          <w:sz w:val="20"/>
          <w:szCs w:val="20"/>
        </w:rPr>
      </w:pPr>
    </w:p>
    <w:p w:rsidR="002B0F3C" w:rsidRDefault="002B0F3C" w:rsidP="008F2290">
      <w:pPr>
        <w:rPr>
          <w:rFonts w:ascii="Calibri" w:hAnsi="Calibri"/>
          <w:b/>
          <w:sz w:val="20"/>
          <w:szCs w:val="20"/>
        </w:rPr>
      </w:pPr>
    </w:p>
    <w:p w:rsidR="00A966B3" w:rsidRDefault="00A966B3" w:rsidP="008F2290">
      <w:pPr>
        <w:rPr>
          <w:rFonts w:ascii="Calibri" w:hAnsi="Calibri"/>
          <w:b/>
          <w:sz w:val="20"/>
          <w:szCs w:val="20"/>
        </w:rPr>
      </w:pPr>
    </w:p>
    <w:p w:rsidR="00BC177B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lastRenderedPageBreak/>
        <w:t xml:space="preserve">Data </w:t>
      </w:r>
      <w:r w:rsidR="006F2F54" w:rsidRPr="009817DA">
        <w:rPr>
          <w:rFonts w:ascii="Calibri" w:hAnsi="Calibri"/>
          <w:b/>
          <w:sz w:val="20"/>
          <w:szCs w:val="20"/>
        </w:rPr>
        <w:t>to</w:t>
      </w:r>
      <w:r w:rsidRPr="009817DA">
        <w:rPr>
          <w:rFonts w:ascii="Calibri" w:hAnsi="Calibri"/>
          <w:b/>
          <w:sz w:val="20"/>
          <w:szCs w:val="20"/>
        </w:rPr>
        <w:t xml:space="preserve"> be </w:t>
      </w:r>
      <w:r w:rsidR="006F2F54" w:rsidRPr="009817DA">
        <w:rPr>
          <w:rFonts w:ascii="Calibri" w:hAnsi="Calibri"/>
          <w:b/>
          <w:sz w:val="20"/>
          <w:szCs w:val="20"/>
        </w:rPr>
        <w:t>collected</w:t>
      </w:r>
      <w:r w:rsidRPr="009817DA">
        <w:rPr>
          <w:rFonts w:ascii="Calibri" w:hAnsi="Calibri"/>
          <w:b/>
          <w:sz w:val="20"/>
          <w:szCs w:val="20"/>
        </w:rPr>
        <w:t>: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  <w:u w:val="single"/>
        </w:rPr>
      </w:pPr>
      <w:r w:rsidRPr="009817DA">
        <w:rPr>
          <w:rFonts w:ascii="Calibri" w:hAnsi="Calibri"/>
          <w:sz w:val="20"/>
          <w:szCs w:val="20"/>
          <w:u w:val="single"/>
        </w:rPr>
        <w:t>Demographic Data:</w:t>
      </w:r>
    </w:p>
    <w:p w:rsidR="008F2290" w:rsidRPr="009817DA" w:rsidRDefault="008F229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PMH</w:t>
      </w:r>
    </w:p>
    <w:p w:rsidR="008F2290" w:rsidRPr="009817DA" w:rsidRDefault="008F2290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Age, gender, race</w:t>
      </w:r>
    </w:p>
    <w:p w:rsidR="008F2290" w:rsidRPr="009817DA" w:rsidRDefault="00055108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Baseline S</w:t>
      </w:r>
      <w:r w:rsidR="008F2290" w:rsidRPr="009817DA">
        <w:rPr>
          <w:sz w:val="20"/>
          <w:szCs w:val="20"/>
        </w:rPr>
        <w:t>Cr</w:t>
      </w:r>
    </w:p>
    <w:p w:rsidR="00726B97" w:rsidRDefault="008137A2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 w:rsidRPr="009817DA">
        <w:rPr>
          <w:sz w:val="20"/>
          <w:szCs w:val="20"/>
        </w:rPr>
        <w:t>Fracture Grade (I, II, or III)</w:t>
      </w:r>
    </w:p>
    <w:p w:rsidR="00726B97" w:rsidRDefault="00D1341E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>
        <w:t>Acute Physiology and Chronic Health Evaluation II (</w:t>
      </w:r>
      <w:r w:rsidR="00726B97">
        <w:rPr>
          <w:sz w:val="20"/>
          <w:szCs w:val="20"/>
        </w:rPr>
        <w:t>APACHE II</w:t>
      </w:r>
      <w:r>
        <w:rPr>
          <w:sz w:val="20"/>
          <w:szCs w:val="20"/>
        </w:rPr>
        <w:t>)</w:t>
      </w:r>
      <w:r w:rsidR="00726B97">
        <w:rPr>
          <w:sz w:val="20"/>
          <w:szCs w:val="20"/>
        </w:rPr>
        <w:t xml:space="preserve"> score</w:t>
      </w:r>
    </w:p>
    <w:p w:rsidR="00726B97" w:rsidRDefault="00726B97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D1341E">
        <w:rPr>
          <w:sz w:val="20"/>
          <w:szCs w:val="20"/>
        </w:rPr>
        <w:t>rauma Injury Severity Score (TRISS)</w:t>
      </w:r>
    </w:p>
    <w:p w:rsidR="008F2290" w:rsidRPr="009817DA" w:rsidRDefault="00D1341E" w:rsidP="00B30EDE">
      <w:pPr>
        <w:pStyle w:val="MediumGrid1-Accent2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Abbreviated Injury Scale (AIS) score for </w:t>
      </w:r>
      <w:proofErr w:type="spellStart"/>
      <w:r>
        <w:rPr>
          <w:sz w:val="20"/>
          <w:szCs w:val="20"/>
        </w:rPr>
        <w:t>extremeties</w:t>
      </w:r>
      <w:proofErr w:type="spellEnd"/>
    </w:p>
    <w:p w:rsidR="006F2F54" w:rsidRPr="009817DA" w:rsidRDefault="006F2F54" w:rsidP="008F2290">
      <w:pPr>
        <w:pStyle w:val="MediumGrid1-Accent21"/>
        <w:ind w:left="0"/>
        <w:rPr>
          <w:sz w:val="20"/>
          <w:szCs w:val="20"/>
        </w:rPr>
      </w:pPr>
    </w:p>
    <w:p w:rsidR="008F2290" w:rsidRPr="009817DA" w:rsidRDefault="008F2290" w:rsidP="008F2290">
      <w:pPr>
        <w:pStyle w:val="MediumGrid1-Accent21"/>
        <w:ind w:left="0"/>
        <w:rPr>
          <w:sz w:val="20"/>
          <w:szCs w:val="20"/>
          <w:u w:val="single"/>
        </w:rPr>
      </w:pPr>
      <w:r w:rsidRPr="009817DA">
        <w:rPr>
          <w:sz w:val="20"/>
          <w:szCs w:val="20"/>
          <w:u w:val="single"/>
        </w:rPr>
        <w:t>Clinical Data:</w:t>
      </w:r>
    </w:p>
    <w:p w:rsidR="00BC177B" w:rsidRPr="009817DA" w:rsidRDefault="00BC177B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Diagnosis of pneumonia or UTI within 48 hours of admission (yes/no)</w:t>
      </w:r>
    </w:p>
    <w:p w:rsidR="00BC177B" w:rsidRPr="009817DA" w:rsidRDefault="00BC177B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Receipt of intra-abdominal antibiotic protocols</w:t>
      </w:r>
      <w:r w:rsidR="001E21F5">
        <w:rPr>
          <w:sz w:val="20"/>
          <w:szCs w:val="20"/>
        </w:rPr>
        <w:t xml:space="preserve"> on admission</w:t>
      </w:r>
      <w:r w:rsidRPr="009817DA">
        <w:rPr>
          <w:sz w:val="20"/>
          <w:szCs w:val="20"/>
        </w:rPr>
        <w:t xml:space="preserve"> (yes/no) </w:t>
      </w:r>
    </w:p>
    <w:p w:rsidR="00BC177B" w:rsidRPr="009817DA" w:rsidRDefault="00BC177B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Diagnosis of wound or joint infections on admission (yes/no)</w:t>
      </w:r>
    </w:p>
    <w:p w:rsidR="00BC177B" w:rsidRPr="009817DA" w:rsidRDefault="00BC177B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History of chronic osteomyelitis (yes/no)</w:t>
      </w:r>
    </w:p>
    <w:p w:rsidR="00EB7A0F" w:rsidRDefault="008F2290" w:rsidP="00EB7A0F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Administration of </w:t>
      </w:r>
      <w:r w:rsidR="00EB7A0F">
        <w:rPr>
          <w:sz w:val="20"/>
          <w:szCs w:val="20"/>
        </w:rPr>
        <w:t xml:space="preserve">open fracture protocol antibiotics:  </w:t>
      </w:r>
      <w:proofErr w:type="spellStart"/>
      <w:r w:rsidR="00EB7A0F">
        <w:rPr>
          <w:sz w:val="20"/>
          <w:szCs w:val="20"/>
        </w:rPr>
        <w:t>clindamycin</w:t>
      </w:r>
      <w:proofErr w:type="spellEnd"/>
      <w:r w:rsidR="00EB7A0F">
        <w:rPr>
          <w:sz w:val="20"/>
          <w:szCs w:val="20"/>
        </w:rPr>
        <w:t xml:space="preserve">, </w:t>
      </w:r>
      <w:proofErr w:type="spellStart"/>
      <w:r w:rsidR="00EB7A0F">
        <w:rPr>
          <w:sz w:val="20"/>
          <w:szCs w:val="20"/>
        </w:rPr>
        <w:t>vancomycin</w:t>
      </w:r>
      <w:proofErr w:type="spellEnd"/>
      <w:r w:rsidR="00EB7A0F">
        <w:rPr>
          <w:sz w:val="20"/>
          <w:szCs w:val="20"/>
        </w:rPr>
        <w:t xml:space="preserve">, </w:t>
      </w:r>
      <w:proofErr w:type="spellStart"/>
      <w:r w:rsidR="00EB7A0F">
        <w:rPr>
          <w:sz w:val="20"/>
          <w:szCs w:val="20"/>
        </w:rPr>
        <w:t>ceftriaxone</w:t>
      </w:r>
      <w:proofErr w:type="spellEnd"/>
      <w:r w:rsidR="00EB7A0F">
        <w:rPr>
          <w:sz w:val="20"/>
          <w:szCs w:val="20"/>
        </w:rPr>
        <w:t xml:space="preserve">, </w:t>
      </w:r>
      <w:proofErr w:type="spellStart"/>
      <w:r w:rsidR="00EB7A0F">
        <w:rPr>
          <w:sz w:val="20"/>
          <w:szCs w:val="20"/>
        </w:rPr>
        <w:t>levofloxacin</w:t>
      </w:r>
      <w:proofErr w:type="spellEnd"/>
      <w:r w:rsidR="00EB7A0F">
        <w:rPr>
          <w:sz w:val="20"/>
          <w:szCs w:val="20"/>
        </w:rPr>
        <w:t xml:space="preserve">, </w:t>
      </w:r>
      <w:proofErr w:type="spellStart"/>
      <w:r w:rsidR="00EB7A0F">
        <w:rPr>
          <w:sz w:val="20"/>
          <w:szCs w:val="20"/>
        </w:rPr>
        <w:t>aztreonam</w:t>
      </w:r>
      <w:proofErr w:type="spellEnd"/>
      <w:r w:rsidR="00EB7A0F">
        <w:rPr>
          <w:sz w:val="20"/>
          <w:szCs w:val="20"/>
        </w:rPr>
        <w:t xml:space="preserve"> (yes/no)</w:t>
      </w:r>
    </w:p>
    <w:p w:rsidR="007E7F51" w:rsidRDefault="008137A2" w:rsidP="007E7F51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Duration of use for each antibiotic (hours/ days)</w:t>
      </w:r>
    </w:p>
    <w:p w:rsidR="007E7F51" w:rsidRPr="00FF3F89" w:rsidRDefault="007E7F51" w:rsidP="007E7F51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FF3F89">
        <w:rPr>
          <w:sz w:val="20"/>
          <w:szCs w:val="20"/>
        </w:rPr>
        <w:t>Time to first orthopedic surgical intervention (hours/days)</w:t>
      </w:r>
    </w:p>
    <w:p w:rsidR="008137A2" w:rsidRPr="009817DA" w:rsidRDefault="008137A2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Incidence of infection </w:t>
      </w:r>
      <w:r w:rsidR="00EB7A0F">
        <w:rPr>
          <w:sz w:val="20"/>
          <w:szCs w:val="20"/>
        </w:rPr>
        <w:t>to discharge</w:t>
      </w:r>
      <w:r w:rsidR="00215C73">
        <w:rPr>
          <w:sz w:val="20"/>
          <w:szCs w:val="20"/>
        </w:rPr>
        <w:t xml:space="preserve"> (yes/no)</w:t>
      </w:r>
    </w:p>
    <w:p w:rsidR="005337DE" w:rsidRPr="009817DA" w:rsidRDefault="005337DE" w:rsidP="00B30EDE">
      <w:pPr>
        <w:pStyle w:val="MediumGrid1-Accent21"/>
        <w:numPr>
          <w:ilvl w:val="1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Determined by </w:t>
      </w:r>
      <w:r w:rsidR="00EB7A0F">
        <w:rPr>
          <w:sz w:val="20"/>
          <w:szCs w:val="20"/>
        </w:rPr>
        <w:t>NHSN criteria for confirmation of healthcare acquired infections (HCAI)</w:t>
      </w:r>
    </w:p>
    <w:p w:rsidR="008137A2" w:rsidRPr="009817DA" w:rsidRDefault="008137A2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Incidence of resistant infection </w:t>
      </w:r>
      <w:r w:rsidR="00EB7A0F">
        <w:rPr>
          <w:sz w:val="20"/>
          <w:szCs w:val="20"/>
        </w:rPr>
        <w:t>to discharge</w:t>
      </w:r>
      <w:r w:rsidR="00215C73">
        <w:rPr>
          <w:sz w:val="20"/>
          <w:szCs w:val="20"/>
        </w:rPr>
        <w:t xml:space="preserve"> (yes/no)</w:t>
      </w:r>
    </w:p>
    <w:p w:rsidR="00EB7A0F" w:rsidRDefault="005337DE" w:rsidP="00B30EDE">
      <w:pPr>
        <w:pStyle w:val="MediumGrid1-Accent21"/>
        <w:numPr>
          <w:ilvl w:val="1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 xml:space="preserve">Determined by culture results </w:t>
      </w:r>
    </w:p>
    <w:p w:rsidR="005337DE" w:rsidRPr="009817DA" w:rsidRDefault="00EB7A0F" w:rsidP="00EB7A0F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Type of infection and causative organism</w:t>
      </w:r>
    </w:p>
    <w:p w:rsidR="0040063E" w:rsidRPr="00483466" w:rsidRDefault="008137A2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In</w:t>
      </w:r>
      <w:r w:rsidR="00EB7A0F">
        <w:rPr>
          <w:sz w:val="20"/>
          <w:szCs w:val="20"/>
        </w:rPr>
        <w:t>cidence of acute kidney injury</w:t>
      </w:r>
      <w:r w:rsidR="00483466">
        <w:rPr>
          <w:sz w:val="20"/>
          <w:szCs w:val="20"/>
        </w:rPr>
        <w:t xml:space="preserve"> (AKI)</w:t>
      </w:r>
      <w:r w:rsidR="00EB7A0F">
        <w:rPr>
          <w:sz w:val="20"/>
          <w:szCs w:val="20"/>
        </w:rPr>
        <w:t xml:space="preserve"> as defined by </w:t>
      </w:r>
      <w:r w:rsidR="00BC118C">
        <w:rPr>
          <w:sz w:val="20"/>
          <w:szCs w:val="20"/>
        </w:rPr>
        <w:t>AKIN criteria</w:t>
      </w:r>
      <w:r w:rsidR="009223C5">
        <w:rPr>
          <w:sz w:val="20"/>
          <w:szCs w:val="20"/>
        </w:rPr>
        <w:t xml:space="preserve"> (yes/no)</w:t>
      </w:r>
      <w:r w:rsidR="0040063E">
        <w:rPr>
          <w:color w:val="FF0000"/>
          <w:sz w:val="20"/>
          <w:szCs w:val="20"/>
        </w:rPr>
        <w:t xml:space="preserve"> </w:t>
      </w:r>
    </w:p>
    <w:p w:rsidR="00483466" w:rsidRPr="00483466" w:rsidRDefault="00483466" w:rsidP="00483466">
      <w:pPr>
        <w:pStyle w:val="MediumGrid1-Accent21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AKI is defined </w:t>
      </w:r>
      <w:r>
        <w:rPr>
          <w:lang/>
        </w:rPr>
        <w:t>as occurrence of any of the following within a 48-hour period:</w:t>
      </w:r>
    </w:p>
    <w:p w:rsidR="00483466" w:rsidRPr="00483466" w:rsidRDefault="00483466" w:rsidP="00483466">
      <w:pPr>
        <w:pStyle w:val="MediumGrid1-Accent21"/>
        <w:numPr>
          <w:ilvl w:val="2"/>
          <w:numId w:val="3"/>
        </w:numPr>
        <w:rPr>
          <w:sz w:val="20"/>
          <w:szCs w:val="20"/>
        </w:rPr>
      </w:pPr>
      <w:r>
        <w:rPr>
          <w:lang/>
        </w:rPr>
        <w:t>Increase in serum creatinine (SCr) or ≥ 0.3 mg/</w:t>
      </w:r>
      <w:proofErr w:type="spellStart"/>
      <w:r>
        <w:rPr>
          <w:lang/>
        </w:rPr>
        <w:t>dL</w:t>
      </w:r>
      <w:proofErr w:type="spellEnd"/>
      <w:r>
        <w:rPr>
          <w:lang/>
        </w:rPr>
        <w:t xml:space="preserve"> </w:t>
      </w:r>
    </w:p>
    <w:p w:rsidR="00483466" w:rsidRPr="00483466" w:rsidRDefault="00483466" w:rsidP="00483466">
      <w:pPr>
        <w:pStyle w:val="MediumGrid1-Accent21"/>
        <w:numPr>
          <w:ilvl w:val="2"/>
          <w:numId w:val="3"/>
        </w:numPr>
        <w:rPr>
          <w:sz w:val="20"/>
          <w:szCs w:val="20"/>
        </w:rPr>
      </w:pPr>
      <w:r>
        <w:rPr>
          <w:lang/>
        </w:rPr>
        <w:t>1.5-fold increase in SCr from baseline</w:t>
      </w:r>
    </w:p>
    <w:p w:rsidR="00483466" w:rsidRPr="0040063E" w:rsidRDefault="00483466" w:rsidP="00483466">
      <w:pPr>
        <w:pStyle w:val="MediumGrid1-Accent21"/>
        <w:numPr>
          <w:ilvl w:val="2"/>
          <w:numId w:val="3"/>
        </w:numPr>
        <w:rPr>
          <w:sz w:val="20"/>
          <w:szCs w:val="20"/>
        </w:rPr>
      </w:pPr>
      <w:r>
        <w:rPr>
          <w:lang/>
        </w:rPr>
        <w:t>Urine output reduced to &lt; 0.5 mL/kg/hour for &gt; 6 hours</w:t>
      </w:r>
      <w:proofErr w:type="gramStart"/>
      <w:r>
        <w:rPr>
          <w:lang/>
        </w:rPr>
        <w:t>)</w:t>
      </w:r>
      <w:r>
        <w:rPr>
          <w:vertAlign w:val="superscript"/>
          <w:lang/>
        </w:rPr>
        <w:t>6</w:t>
      </w:r>
      <w:proofErr w:type="gramEnd"/>
      <w:r>
        <w:rPr>
          <w:lang/>
        </w:rPr>
        <w:t>.</w:t>
      </w:r>
    </w:p>
    <w:p w:rsidR="00EB7A0F" w:rsidRDefault="008F2290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ICU length of stay (</w:t>
      </w:r>
      <w:r w:rsidR="00BC177B" w:rsidRPr="009817DA">
        <w:rPr>
          <w:sz w:val="20"/>
          <w:szCs w:val="20"/>
        </w:rPr>
        <w:t xml:space="preserve">hours/ </w:t>
      </w:r>
      <w:r w:rsidRPr="009817DA">
        <w:rPr>
          <w:sz w:val="20"/>
          <w:szCs w:val="20"/>
        </w:rPr>
        <w:t>days)</w:t>
      </w:r>
    </w:p>
    <w:p w:rsidR="008F2290" w:rsidRPr="009817DA" w:rsidRDefault="00EB7A0F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Hospital length of stay (hours/ days)</w:t>
      </w:r>
    </w:p>
    <w:p w:rsidR="008137A2" w:rsidRPr="009817DA" w:rsidRDefault="008137A2" w:rsidP="00B30EDE">
      <w:pPr>
        <w:pStyle w:val="MediumGrid1-Accent21"/>
        <w:numPr>
          <w:ilvl w:val="0"/>
          <w:numId w:val="3"/>
        </w:numPr>
        <w:rPr>
          <w:sz w:val="20"/>
          <w:szCs w:val="20"/>
        </w:rPr>
      </w:pPr>
      <w:r w:rsidRPr="009817DA">
        <w:rPr>
          <w:sz w:val="20"/>
          <w:szCs w:val="20"/>
        </w:rPr>
        <w:t>ICU mortality (yes/no)</w:t>
      </w:r>
    </w:p>
    <w:p w:rsidR="008D2A6D" w:rsidRPr="009817DA" w:rsidRDefault="008D2A6D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9716C3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Databases to study or c</w:t>
      </w:r>
      <w:r w:rsidR="008F2290" w:rsidRPr="009817DA">
        <w:rPr>
          <w:rFonts w:ascii="Calibri" w:hAnsi="Calibri"/>
          <w:b/>
          <w:sz w:val="20"/>
          <w:szCs w:val="20"/>
        </w:rPr>
        <w:t>reate:</w:t>
      </w:r>
    </w:p>
    <w:p w:rsidR="008F2290" w:rsidRPr="009817DA" w:rsidRDefault="003B690E" w:rsidP="00B30EDE">
      <w:pPr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>Trauma Registry of the American College of Surgeons (</w:t>
      </w:r>
      <w:r w:rsidR="008F2290" w:rsidRPr="009817DA">
        <w:rPr>
          <w:rFonts w:ascii="Calibri" w:hAnsi="Calibri"/>
          <w:sz w:val="20"/>
          <w:szCs w:val="20"/>
        </w:rPr>
        <w:t>TRACS</w:t>
      </w:r>
      <w:r w:rsidRPr="009817DA">
        <w:rPr>
          <w:rFonts w:ascii="Calibri" w:hAnsi="Calibri"/>
          <w:sz w:val="20"/>
          <w:szCs w:val="20"/>
        </w:rPr>
        <w:t>)</w:t>
      </w:r>
    </w:p>
    <w:p w:rsidR="008F2290" w:rsidRPr="009817DA" w:rsidRDefault="008F2290" w:rsidP="00B30EDE">
      <w:pPr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>Medipac</w:t>
      </w:r>
    </w:p>
    <w:p w:rsidR="008F2290" w:rsidRPr="009817DA" w:rsidRDefault="008F2290" w:rsidP="00B30EDE">
      <w:pPr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>Electronic Medical Records/Star Panel</w:t>
      </w:r>
    </w:p>
    <w:p w:rsidR="00EB16E1" w:rsidRPr="009817DA" w:rsidRDefault="00A27444" w:rsidP="00B30EDE">
      <w:pPr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Trauma </w:t>
      </w:r>
      <w:r w:rsidR="00EB16E1" w:rsidRPr="009817DA">
        <w:rPr>
          <w:rFonts w:ascii="Calibri" w:hAnsi="Calibri"/>
          <w:sz w:val="20"/>
          <w:szCs w:val="20"/>
        </w:rPr>
        <w:t>ICU database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507D3D" w:rsidRDefault="00507D3D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Defining Measurements:</w:t>
      </w:r>
    </w:p>
    <w:p w:rsidR="008F2290" w:rsidRPr="009817DA" w:rsidRDefault="008F2290" w:rsidP="00B30EDE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 xml:space="preserve">Administration of </w:t>
      </w:r>
      <w:r w:rsidR="00BC177B" w:rsidRPr="009817DA">
        <w:rPr>
          <w:rFonts w:ascii="Calibri" w:hAnsi="Calibri"/>
          <w:sz w:val="20"/>
          <w:szCs w:val="20"/>
        </w:rPr>
        <w:t>open fracture prophylaxis</w:t>
      </w:r>
      <w:r w:rsidRPr="009817DA">
        <w:rPr>
          <w:rFonts w:ascii="Calibri" w:hAnsi="Calibri"/>
          <w:sz w:val="20"/>
          <w:szCs w:val="20"/>
        </w:rPr>
        <w:t xml:space="preserve"> protocol for ≥ </w:t>
      </w:r>
      <w:r w:rsidR="00BC177B" w:rsidRPr="009817DA">
        <w:rPr>
          <w:rFonts w:ascii="Calibri" w:hAnsi="Calibri"/>
          <w:sz w:val="20"/>
          <w:szCs w:val="20"/>
        </w:rPr>
        <w:t>recommended duration</w:t>
      </w:r>
    </w:p>
    <w:p w:rsidR="008F2290" w:rsidRPr="009817DA" w:rsidRDefault="008F2290" w:rsidP="00B30EDE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 xml:space="preserve">Documentation of </w:t>
      </w:r>
      <w:r w:rsidR="00BC177B" w:rsidRPr="009817DA">
        <w:rPr>
          <w:rFonts w:ascii="Calibri" w:hAnsi="Calibri"/>
          <w:sz w:val="20"/>
          <w:szCs w:val="20"/>
        </w:rPr>
        <w:t>resistant infections by culture or clinical evidence</w:t>
      </w:r>
    </w:p>
    <w:p w:rsidR="008F2290" w:rsidRPr="009817DA" w:rsidRDefault="008F2290" w:rsidP="008F2290">
      <w:pPr>
        <w:ind w:left="360"/>
        <w:rPr>
          <w:rFonts w:ascii="Calibri" w:hAnsi="Calibri"/>
          <w:sz w:val="20"/>
          <w:szCs w:val="20"/>
        </w:rPr>
      </w:pPr>
    </w:p>
    <w:p w:rsidR="00507D3D" w:rsidRDefault="00507D3D" w:rsidP="008F2290">
      <w:pPr>
        <w:rPr>
          <w:rFonts w:ascii="Calibri" w:hAnsi="Calibri"/>
          <w:b/>
          <w:sz w:val="20"/>
          <w:szCs w:val="20"/>
        </w:rPr>
      </w:pPr>
    </w:p>
    <w:p w:rsidR="005D2A75" w:rsidRDefault="005D2A75" w:rsidP="008F2290">
      <w:pPr>
        <w:rPr>
          <w:rFonts w:ascii="Calibri" w:hAnsi="Calibri"/>
          <w:b/>
          <w:sz w:val="20"/>
          <w:szCs w:val="20"/>
        </w:rPr>
      </w:pPr>
    </w:p>
    <w:p w:rsidR="005D2A75" w:rsidRDefault="005D2A75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lastRenderedPageBreak/>
        <w:t>Data Analysis: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  <w:u w:val="single"/>
        </w:rPr>
        <w:t>Primary Objective</w:t>
      </w:r>
      <w:r w:rsidRPr="009817DA">
        <w:rPr>
          <w:rFonts w:ascii="Calibri" w:hAnsi="Calibri"/>
          <w:sz w:val="20"/>
          <w:szCs w:val="20"/>
        </w:rPr>
        <w:t xml:space="preserve">:  To evaluate the effect of </w:t>
      </w:r>
      <w:r w:rsidR="00EB16E1" w:rsidRPr="009817DA">
        <w:rPr>
          <w:rFonts w:ascii="Calibri" w:hAnsi="Calibri"/>
          <w:sz w:val="20"/>
          <w:szCs w:val="20"/>
        </w:rPr>
        <w:t>prolonged prophylactic antibiotic use</w:t>
      </w:r>
      <w:r w:rsidRPr="009817DA">
        <w:rPr>
          <w:rFonts w:ascii="Calibri" w:hAnsi="Calibri"/>
          <w:sz w:val="20"/>
          <w:szCs w:val="20"/>
        </w:rPr>
        <w:t xml:space="preserve"> on the </w:t>
      </w:r>
      <w:r w:rsidR="00B563C0" w:rsidRPr="009817DA">
        <w:rPr>
          <w:rFonts w:ascii="Calibri" w:hAnsi="Calibri"/>
          <w:sz w:val="20"/>
          <w:szCs w:val="20"/>
        </w:rPr>
        <w:t>incidence</w:t>
      </w:r>
      <w:r w:rsidRPr="009817DA">
        <w:rPr>
          <w:rFonts w:ascii="Calibri" w:hAnsi="Calibri"/>
          <w:sz w:val="20"/>
          <w:szCs w:val="20"/>
        </w:rPr>
        <w:t xml:space="preserve"> of </w:t>
      </w:r>
      <w:r w:rsidR="00EB16E1" w:rsidRPr="009817DA">
        <w:rPr>
          <w:rFonts w:ascii="Calibri" w:hAnsi="Calibri"/>
          <w:sz w:val="20"/>
          <w:szCs w:val="20"/>
        </w:rPr>
        <w:t>resistant infections</w:t>
      </w:r>
      <w:r w:rsidR="009C15E3">
        <w:rPr>
          <w:rFonts w:ascii="Calibri" w:hAnsi="Calibri"/>
          <w:sz w:val="20"/>
          <w:szCs w:val="20"/>
        </w:rPr>
        <w:t xml:space="preserve"> during hospitalization</w:t>
      </w:r>
      <w:r w:rsidRPr="009817DA">
        <w:rPr>
          <w:rFonts w:ascii="Calibri" w:hAnsi="Calibri"/>
          <w:sz w:val="20"/>
          <w:szCs w:val="20"/>
        </w:rPr>
        <w:t xml:space="preserve"> </w:t>
      </w:r>
      <w:r w:rsidR="00B563C0" w:rsidRPr="009817DA">
        <w:rPr>
          <w:rFonts w:ascii="Calibri" w:hAnsi="Calibri"/>
          <w:sz w:val="20"/>
          <w:szCs w:val="20"/>
        </w:rPr>
        <w:t xml:space="preserve">in </w:t>
      </w:r>
      <w:r w:rsidR="00EB16E1" w:rsidRPr="009817DA">
        <w:rPr>
          <w:rFonts w:ascii="Calibri" w:hAnsi="Calibri"/>
          <w:sz w:val="20"/>
          <w:szCs w:val="20"/>
        </w:rPr>
        <w:t>patients with open fractures.</w:t>
      </w:r>
    </w:p>
    <w:p w:rsidR="00590E98" w:rsidRDefault="00590E98" w:rsidP="00A27444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Types of infections and causative organisms</w:t>
      </w:r>
    </w:p>
    <w:p w:rsidR="00A27444" w:rsidRPr="00A27444" w:rsidRDefault="00A27444" w:rsidP="00A27444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A27444">
        <w:rPr>
          <w:rFonts w:ascii="Calibri" w:hAnsi="Calibri"/>
          <w:sz w:val="20"/>
          <w:szCs w:val="20"/>
        </w:rPr>
        <w:t>Proportions of resistant versus pan-sensitive infections</w:t>
      </w:r>
    </w:p>
    <w:p w:rsidR="00B563C0" w:rsidRPr="009817DA" w:rsidRDefault="00B563C0" w:rsidP="008F2290">
      <w:pPr>
        <w:rPr>
          <w:rFonts w:ascii="Calibri" w:hAnsi="Calibri"/>
          <w:sz w:val="20"/>
          <w:szCs w:val="20"/>
        </w:rPr>
      </w:pPr>
    </w:p>
    <w:p w:rsidR="00B563C0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  <w:u w:val="single"/>
        </w:rPr>
        <w:t>Secondary Objective</w:t>
      </w:r>
      <w:r w:rsidR="00AE25A8" w:rsidRPr="009817DA">
        <w:rPr>
          <w:rFonts w:ascii="Calibri" w:hAnsi="Calibri"/>
          <w:sz w:val="20"/>
          <w:szCs w:val="20"/>
          <w:u w:val="single"/>
        </w:rPr>
        <w:t>s</w:t>
      </w:r>
      <w:r w:rsidRPr="009817DA">
        <w:rPr>
          <w:rFonts w:ascii="Calibri" w:hAnsi="Calibri"/>
          <w:sz w:val="20"/>
          <w:szCs w:val="20"/>
          <w:u w:val="single"/>
        </w:rPr>
        <w:t>:</w:t>
      </w:r>
      <w:r w:rsidRPr="009817DA">
        <w:rPr>
          <w:rFonts w:ascii="Calibri" w:hAnsi="Calibri"/>
          <w:sz w:val="20"/>
          <w:szCs w:val="20"/>
        </w:rPr>
        <w:t xml:space="preserve">  To</w:t>
      </w:r>
      <w:r w:rsidR="003A0C30">
        <w:rPr>
          <w:rFonts w:ascii="Calibri" w:hAnsi="Calibri"/>
          <w:sz w:val="20"/>
          <w:szCs w:val="20"/>
        </w:rPr>
        <w:t xml:space="preserve"> determine overall</w:t>
      </w:r>
      <w:r w:rsidR="009C15E3">
        <w:rPr>
          <w:rFonts w:ascii="Calibri" w:hAnsi="Calibri"/>
          <w:sz w:val="20"/>
          <w:szCs w:val="20"/>
        </w:rPr>
        <w:t xml:space="preserve"> rate of compliance with the open fracture prophyla</w:t>
      </w:r>
      <w:r w:rsidR="003A0C30">
        <w:rPr>
          <w:rFonts w:ascii="Calibri" w:hAnsi="Calibri"/>
          <w:sz w:val="20"/>
          <w:szCs w:val="20"/>
        </w:rPr>
        <w:t>xis</w:t>
      </w:r>
      <w:r w:rsidR="009C15E3">
        <w:rPr>
          <w:rFonts w:ascii="Calibri" w:hAnsi="Calibri"/>
          <w:sz w:val="20"/>
          <w:szCs w:val="20"/>
        </w:rPr>
        <w:t xml:space="preserve"> protocol </w:t>
      </w:r>
      <w:r w:rsidR="000A22B0">
        <w:rPr>
          <w:rFonts w:ascii="Calibri" w:hAnsi="Calibri"/>
          <w:sz w:val="20"/>
          <w:szCs w:val="20"/>
        </w:rPr>
        <w:t>as well as</w:t>
      </w:r>
      <w:r w:rsidR="003A0C30">
        <w:rPr>
          <w:rFonts w:ascii="Calibri" w:hAnsi="Calibri"/>
          <w:sz w:val="20"/>
          <w:szCs w:val="20"/>
        </w:rPr>
        <w:t xml:space="preserve"> </w:t>
      </w:r>
      <w:r w:rsidRPr="009817DA">
        <w:rPr>
          <w:rFonts w:ascii="Calibri" w:hAnsi="Calibri"/>
          <w:sz w:val="20"/>
          <w:szCs w:val="20"/>
        </w:rPr>
        <w:t>morbidity and mortality</w:t>
      </w:r>
      <w:r w:rsidR="003A0C30">
        <w:rPr>
          <w:rFonts w:ascii="Calibri" w:hAnsi="Calibri"/>
          <w:sz w:val="20"/>
          <w:szCs w:val="20"/>
        </w:rPr>
        <w:t xml:space="preserve"> rates.</w:t>
      </w:r>
      <w:r w:rsidRPr="009817DA">
        <w:rPr>
          <w:rFonts w:ascii="Calibri" w:hAnsi="Calibri"/>
          <w:sz w:val="20"/>
          <w:szCs w:val="20"/>
        </w:rPr>
        <w:t xml:space="preserve"> </w:t>
      </w:r>
    </w:p>
    <w:p w:rsidR="00973879" w:rsidRPr="009817DA" w:rsidRDefault="00973879" w:rsidP="008F2290">
      <w:pPr>
        <w:rPr>
          <w:rFonts w:ascii="Calibri" w:hAnsi="Calibri"/>
          <w:sz w:val="20"/>
          <w:szCs w:val="20"/>
        </w:rPr>
      </w:pPr>
    </w:p>
    <w:p w:rsidR="00B563C0" w:rsidRPr="009817DA" w:rsidRDefault="00EB16E1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>Overall rate of compliance with protocol</w:t>
      </w:r>
    </w:p>
    <w:p w:rsidR="003A0C30" w:rsidRDefault="003A0C30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Incidence of extended d</w:t>
      </w:r>
      <w:r w:rsidR="00EB16E1" w:rsidRPr="009817DA">
        <w:rPr>
          <w:rFonts w:ascii="Calibri" w:hAnsi="Calibri"/>
          <w:sz w:val="20"/>
          <w:szCs w:val="20"/>
        </w:rPr>
        <w:t>uration of prophylactic antibiotics</w:t>
      </w:r>
    </w:p>
    <w:p w:rsidR="00B563C0" w:rsidRPr="009817DA" w:rsidRDefault="003A0C30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Incidence of use of regimens inappropriate for fracture grade</w:t>
      </w:r>
    </w:p>
    <w:p w:rsidR="008F2290" w:rsidRPr="009817DA" w:rsidRDefault="008F2290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 xml:space="preserve">Incidence of </w:t>
      </w:r>
      <w:r w:rsidR="00EB16E1" w:rsidRPr="009817DA">
        <w:rPr>
          <w:rFonts w:ascii="Calibri" w:hAnsi="Calibri"/>
          <w:sz w:val="20"/>
          <w:szCs w:val="20"/>
        </w:rPr>
        <w:t>acute kidney injury</w:t>
      </w:r>
      <w:r w:rsidR="00B563C0" w:rsidRPr="009817DA">
        <w:rPr>
          <w:rFonts w:ascii="Calibri" w:hAnsi="Calibri"/>
          <w:sz w:val="20"/>
          <w:szCs w:val="20"/>
        </w:rPr>
        <w:t xml:space="preserve"> during hospitalization</w:t>
      </w:r>
    </w:p>
    <w:p w:rsidR="008137A2" w:rsidRPr="009817DA" w:rsidRDefault="001E21F5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Hospital length of stay</w:t>
      </w:r>
    </w:p>
    <w:p w:rsidR="00B563C0" w:rsidRPr="009817DA" w:rsidRDefault="00B563C0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 xml:space="preserve">ICU </w:t>
      </w:r>
      <w:r w:rsidR="007D4B65" w:rsidRPr="009817DA">
        <w:rPr>
          <w:rFonts w:ascii="Calibri" w:hAnsi="Calibri"/>
          <w:sz w:val="20"/>
          <w:szCs w:val="20"/>
        </w:rPr>
        <w:t>length of stay</w:t>
      </w:r>
    </w:p>
    <w:p w:rsidR="008F2290" w:rsidRPr="009817DA" w:rsidRDefault="008F2290" w:rsidP="00B30EDE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 xml:space="preserve">ICU </w:t>
      </w:r>
      <w:r w:rsidR="007D4B65" w:rsidRPr="009817DA">
        <w:rPr>
          <w:rFonts w:ascii="Calibri" w:hAnsi="Calibri"/>
          <w:sz w:val="20"/>
          <w:szCs w:val="20"/>
        </w:rPr>
        <w:t>mortality</w:t>
      </w:r>
    </w:p>
    <w:p w:rsidR="005D2A75" w:rsidRPr="009817DA" w:rsidRDefault="005D2A75" w:rsidP="008F2290">
      <w:pPr>
        <w:rPr>
          <w:rFonts w:ascii="Calibri" w:hAnsi="Calibri"/>
          <w:sz w:val="20"/>
          <w:szCs w:val="20"/>
        </w:rPr>
      </w:pPr>
    </w:p>
    <w:p w:rsidR="008F2290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Description of Results:</w:t>
      </w:r>
      <w:r w:rsidRPr="009817DA">
        <w:rPr>
          <w:rFonts w:ascii="Calibri" w:hAnsi="Calibri"/>
          <w:sz w:val="20"/>
          <w:szCs w:val="20"/>
        </w:rPr>
        <w:t xml:space="preserve"> </w:t>
      </w:r>
      <w:r w:rsidR="00AE25A8" w:rsidRPr="009817DA">
        <w:rPr>
          <w:rFonts w:ascii="Calibri" w:hAnsi="Calibri"/>
          <w:sz w:val="20"/>
          <w:szCs w:val="20"/>
        </w:rPr>
        <w:t xml:space="preserve"> </w:t>
      </w:r>
      <w:r w:rsidRPr="009817DA">
        <w:rPr>
          <w:rFonts w:ascii="Calibri" w:hAnsi="Calibri"/>
          <w:sz w:val="20"/>
          <w:szCs w:val="20"/>
        </w:rPr>
        <w:t>N/A</w:t>
      </w:r>
    </w:p>
    <w:p w:rsidR="005D2A75" w:rsidRPr="009817DA" w:rsidRDefault="005D2A75" w:rsidP="008F2290">
      <w:pPr>
        <w:rPr>
          <w:rFonts w:ascii="Calibri" w:hAnsi="Calibri"/>
          <w:sz w:val="20"/>
          <w:szCs w:val="20"/>
        </w:rPr>
      </w:pPr>
    </w:p>
    <w:p w:rsidR="00507D3D" w:rsidRDefault="00507D3D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Benefit to the Resident:</w:t>
      </w:r>
    </w:p>
    <w:p w:rsidR="006875C8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ab/>
        <w:t xml:space="preserve">This research will </w:t>
      </w:r>
      <w:r w:rsidR="006875C8" w:rsidRPr="009817DA">
        <w:rPr>
          <w:rFonts w:ascii="Calibri" w:hAnsi="Calibri"/>
          <w:sz w:val="20"/>
          <w:szCs w:val="20"/>
        </w:rPr>
        <w:t>provide valuable experience with data collectio</w:t>
      </w:r>
      <w:r w:rsidR="00973879">
        <w:rPr>
          <w:rFonts w:ascii="Calibri" w:hAnsi="Calibri"/>
          <w:sz w:val="20"/>
          <w:szCs w:val="20"/>
        </w:rPr>
        <w:t>n and</w:t>
      </w:r>
      <w:r w:rsidR="006875C8" w:rsidRPr="009817DA">
        <w:rPr>
          <w:rFonts w:ascii="Calibri" w:hAnsi="Calibri"/>
          <w:sz w:val="20"/>
          <w:szCs w:val="20"/>
        </w:rPr>
        <w:t xml:space="preserve"> analysis.  </w:t>
      </w:r>
      <w:r w:rsidR="007B5A46">
        <w:rPr>
          <w:rFonts w:ascii="Calibri" w:hAnsi="Calibri"/>
          <w:sz w:val="20"/>
          <w:szCs w:val="20"/>
        </w:rPr>
        <w:t>It</w:t>
      </w:r>
      <w:r w:rsidR="006875C8" w:rsidRPr="009817DA">
        <w:rPr>
          <w:rFonts w:ascii="Calibri" w:hAnsi="Calibri"/>
          <w:sz w:val="20"/>
          <w:szCs w:val="20"/>
        </w:rPr>
        <w:t xml:space="preserve"> will</w:t>
      </w:r>
      <w:r w:rsidR="007B5A46">
        <w:rPr>
          <w:rFonts w:ascii="Calibri" w:hAnsi="Calibri"/>
          <w:sz w:val="20"/>
          <w:szCs w:val="20"/>
        </w:rPr>
        <w:t xml:space="preserve"> also</w:t>
      </w:r>
      <w:r w:rsidR="006875C8" w:rsidRPr="009817DA">
        <w:rPr>
          <w:rFonts w:ascii="Calibri" w:hAnsi="Calibri"/>
          <w:sz w:val="20"/>
          <w:szCs w:val="20"/>
        </w:rPr>
        <w:t xml:space="preserve"> enable me to expand my knowledge of the literature on infectious diseases and antibiotic stewardship, specifically relating to t</w:t>
      </w:r>
      <w:r w:rsidR="007B5A46">
        <w:rPr>
          <w:rFonts w:ascii="Calibri" w:hAnsi="Calibri"/>
          <w:sz w:val="20"/>
          <w:szCs w:val="20"/>
        </w:rPr>
        <w:t>rauma patients.  Additionally, this project</w:t>
      </w:r>
      <w:r w:rsidR="007940EF">
        <w:rPr>
          <w:rFonts w:ascii="Calibri" w:hAnsi="Calibri"/>
          <w:sz w:val="20"/>
          <w:szCs w:val="20"/>
        </w:rPr>
        <w:t xml:space="preserve"> offers</w:t>
      </w:r>
      <w:r w:rsidR="006875C8" w:rsidRPr="009817DA">
        <w:rPr>
          <w:rFonts w:ascii="Calibri" w:hAnsi="Calibri"/>
          <w:sz w:val="20"/>
          <w:szCs w:val="20"/>
        </w:rPr>
        <w:t xml:space="preserve"> </w:t>
      </w:r>
      <w:r w:rsidR="00B30EDE">
        <w:rPr>
          <w:rFonts w:ascii="Calibri" w:hAnsi="Calibri"/>
          <w:sz w:val="20"/>
          <w:szCs w:val="20"/>
        </w:rPr>
        <w:t>important</w:t>
      </w:r>
      <w:r w:rsidR="007940EF">
        <w:rPr>
          <w:rFonts w:ascii="Calibri" w:hAnsi="Calibri"/>
          <w:sz w:val="20"/>
          <w:szCs w:val="20"/>
        </w:rPr>
        <w:t xml:space="preserve"> </w:t>
      </w:r>
      <w:r w:rsidR="00973879">
        <w:rPr>
          <w:rFonts w:ascii="Calibri" w:hAnsi="Calibri"/>
          <w:sz w:val="20"/>
          <w:szCs w:val="20"/>
        </w:rPr>
        <w:t>professional development opportunities, including</w:t>
      </w:r>
      <w:r w:rsidR="006875C8" w:rsidRPr="009817DA">
        <w:rPr>
          <w:rFonts w:ascii="Calibri" w:hAnsi="Calibri"/>
          <w:sz w:val="20"/>
          <w:szCs w:val="20"/>
        </w:rPr>
        <w:t xml:space="preserve"> form</w:t>
      </w:r>
      <w:r w:rsidR="00973879">
        <w:rPr>
          <w:rFonts w:ascii="Calibri" w:hAnsi="Calibri"/>
          <w:sz w:val="20"/>
          <w:szCs w:val="20"/>
        </w:rPr>
        <w:t>ing</w:t>
      </w:r>
      <w:r w:rsidR="006875C8" w:rsidRPr="009817DA">
        <w:rPr>
          <w:rFonts w:ascii="Calibri" w:hAnsi="Calibri"/>
          <w:sz w:val="20"/>
          <w:szCs w:val="20"/>
        </w:rPr>
        <w:t xml:space="preserve"> collaborative relationships with healthcare professionals in various disciplines</w:t>
      </w:r>
      <w:r w:rsidR="00973879">
        <w:rPr>
          <w:rFonts w:ascii="Calibri" w:hAnsi="Calibri"/>
          <w:sz w:val="20"/>
          <w:szCs w:val="20"/>
        </w:rPr>
        <w:t xml:space="preserve"> as well as the prospect of publishing a manuscript</w:t>
      </w:r>
      <w:r w:rsidR="006875C8" w:rsidRPr="009817DA">
        <w:rPr>
          <w:rFonts w:ascii="Calibri" w:hAnsi="Calibri"/>
          <w:sz w:val="20"/>
          <w:szCs w:val="20"/>
        </w:rPr>
        <w:t>.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Benefit to the Patient:</w:t>
      </w:r>
    </w:p>
    <w:p w:rsidR="00820B8B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ab/>
      </w:r>
      <w:r w:rsidRPr="009817DA">
        <w:rPr>
          <w:rFonts w:ascii="Calibri" w:hAnsi="Calibri"/>
          <w:i/>
          <w:sz w:val="20"/>
          <w:szCs w:val="20"/>
        </w:rPr>
        <w:t xml:space="preserve"> </w:t>
      </w:r>
      <w:r w:rsidR="00820B8B" w:rsidRPr="009817DA">
        <w:rPr>
          <w:rFonts w:ascii="Calibri" w:hAnsi="Calibri"/>
          <w:sz w:val="20"/>
          <w:szCs w:val="20"/>
        </w:rPr>
        <w:t xml:space="preserve">Prophylactic antibiotics are the standard of care for patients with open fractures, although guidelines differ on choice of agents and duration of therapy, </w:t>
      </w:r>
      <w:r w:rsidR="007940EF">
        <w:rPr>
          <w:rFonts w:ascii="Calibri" w:hAnsi="Calibri"/>
          <w:sz w:val="20"/>
          <w:szCs w:val="20"/>
        </w:rPr>
        <w:t xml:space="preserve">particularly </w:t>
      </w:r>
      <w:r w:rsidR="00820B8B" w:rsidRPr="009817DA">
        <w:rPr>
          <w:rFonts w:ascii="Calibri" w:hAnsi="Calibri"/>
          <w:sz w:val="20"/>
          <w:szCs w:val="20"/>
        </w:rPr>
        <w:t>for patients with Grade III fractures.  This study will provide valuable evidence toward the optimal use of prophylactic antibiotics in these high-risk patients.  Data from this study may be applied toward future protocol</w:t>
      </w:r>
      <w:r w:rsidR="008F1360">
        <w:rPr>
          <w:rFonts w:ascii="Calibri" w:hAnsi="Calibri"/>
          <w:sz w:val="20"/>
          <w:szCs w:val="20"/>
        </w:rPr>
        <w:t>s</w:t>
      </w:r>
      <w:r w:rsidR="00820B8B" w:rsidRPr="009817DA">
        <w:rPr>
          <w:rFonts w:ascii="Calibri" w:hAnsi="Calibri"/>
          <w:sz w:val="20"/>
          <w:szCs w:val="20"/>
        </w:rPr>
        <w:t xml:space="preserve"> to reduce risk of infection</w:t>
      </w:r>
      <w:r w:rsidR="007B5A46">
        <w:rPr>
          <w:rFonts w:ascii="Calibri" w:hAnsi="Calibri"/>
          <w:sz w:val="20"/>
          <w:szCs w:val="20"/>
        </w:rPr>
        <w:t xml:space="preserve"> </w:t>
      </w:r>
      <w:r w:rsidR="00820B8B" w:rsidRPr="009817DA">
        <w:rPr>
          <w:rFonts w:ascii="Calibri" w:hAnsi="Calibri"/>
          <w:sz w:val="20"/>
          <w:szCs w:val="20"/>
        </w:rPr>
        <w:t>in patients with open fractures</w:t>
      </w:r>
      <w:r w:rsidR="007B5A46">
        <w:rPr>
          <w:rFonts w:ascii="Calibri" w:hAnsi="Calibri"/>
          <w:sz w:val="20"/>
          <w:szCs w:val="20"/>
        </w:rPr>
        <w:t xml:space="preserve"> while avoiding increased </w:t>
      </w:r>
      <w:r w:rsidR="008F1360">
        <w:rPr>
          <w:rFonts w:ascii="Calibri" w:hAnsi="Calibri"/>
          <w:sz w:val="20"/>
          <w:szCs w:val="20"/>
        </w:rPr>
        <w:t>proportions</w:t>
      </w:r>
      <w:r w:rsidR="007B5A46">
        <w:rPr>
          <w:rFonts w:ascii="Calibri" w:hAnsi="Calibri"/>
          <w:sz w:val="20"/>
          <w:szCs w:val="20"/>
        </w:rPr>
        <w:t xml:space="preserve"> of resistant infections</w:t>
      </w:r>
      <w:r w:rsidR="00820B8B" w:rsidRPr="009817DA">
        <w:rPr>
          <w:rFonts w:ascii="Calibri" w:hAnsi="Calibri"/>
          <w:sz w:val="20"/>
          <w:szCs w:val="20"/>
        </w:rPr>
        <w:t xml:space="preserve">. 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Likelihood of Publication:</w:t>
      </w:r>
    </w:p>
    <w:p w:rsidR="008F2290" w:rsidRPr="009817DA" w:rsidRDefault="008F2290" w:rsidP="008F2290">
      <w:pPr>
        <w:rPr>
          <w:rFonts w:ascii="Calibri" w:hAnsi="Calibri"/>
          <w:sz w:val="20"/>
          <w:szCs w:val="20"/>
        </w:rPr>
      </w:pPr>
      <w:r w:rsidRPr="009817DA">
        <w:rPr>
          <w:rFonts w:ascii="Calibri" w:hAnsi="Calibri"/>
          <w:sz w:val="20"/>
          <w:szCs w:val="20"/>
        </w:rPr>
        <w:tab/>
      </w:r>
      <w:r w:rsidR="00D0600D" w:rsidRPr="009817DA">
        <w:rPr>
          <w:rFonts w:ascii="Calibri" w:hAnsi="Calibri"/>
          <w:sz w:val="20"/>
          <w:szCs w:val="20"/>
        </w:rPr>
        <w:t xml:space="preserve">Due to variation between guidelines </w:t>
      </w:r>
      <w:r w:rsidR="00436727" w:rsidRPr="009817DA">
        <w:rPr>
          <w:rFonts w:ascii="Calibri" w:hAnsi="Calibri"/>
          <w:sz w:val="20"/>
          <w:szCs w:val="20"/>
        </w:rPr>
        <w:t>on</w:t>
      </w:r>
      <w:r w:rsidR="00D0600D" w:rsidRPr="009817DA">
        <w:rPr>
          <w:rFonts w:ascii="Calibri" w:hAnsi="Calibri"/>
          <w:sz w:val="20"/>
          <w:szCs w:val="20"/>
        </w:rPr>
        <w:t xml:space="preserve"> antibiotic prophylaxis for open</w:t>
      </w:r>
      <w:r w:rsidR="008E3C3F" w:rsidRPr="009817DA">
        <w:rPr>
          <w:rFonts w:ascii="Calibri" w:hAnsi="Calibri"/>
          <w:sz w:val="20"/>
          <w:szCs w:val="20"/>
        </w:rPr>
        <w:t xml:space="preserve"> fractures</w:t>
      </w:r>
      <w:r w:rsidR="00D0600D" w:rsidRPr="009817DA">
        <w:rPr>
          <w:rFonts w:ascii="Calibri" w:hAnsi="Calibri"/>
          <w:sz w:val="20"/>
          <w:szCs w:val="20"/>
        </w:rPr>
        <w:t xml:space="preserve"> and the resulting </w:t>
      </w:r>
      <w:r w:rsidR="008E3C3F" w:rsidRPr="009817DA">
        <w:rPr>
          <w:rFonts w:ascii="Calibri" w:hAnsi="Calibri"/>
          <w:sz w:val="20"/>
          <w:szCs w:val="20"/>
        </w:rPr>
        <w:t>discrepancies</w:t>
      </w:r>
      <w:r w:rsidR="00436727" w:rsidRPr="009817DA">
        <w:rPr>
          <w:rFonts w:ascii="Calibri" w:hAnsi="Calibri"/>
          <w:sz w:val="20"/>
          <w:szCs w:val="20"/>
        </w:rPr>
        <w:t xml:space="preserve"> in practice, data on this</w:t>
      </w:r>
      <w:r w:rsidR="00D0600D" w:rsidRPr="009817DA">
        <w:rPr>
          <w:rFonts w:ascii="Calibri" w:hAnsi="Calibri"/>
          <w:sz w:val="20"/>
          <w:szCs w:val="20"/>
        </w:rPr>
        <w:t xml:space="preserve"> subject is valuable toward </w:t>
      </w:r>
      <w:r w:rsidR="007B5A46">
        <w:rPr>
          <w:rFonts w:ascii="Calibri" w:hAnsi="Calibri"/>
          <w:sz w:val="20"/>
          <w:szCs w:val="20"/>
        </w:rPr>
        <w:t>developing and optimizing</w:t>
      </w:r>
      <w:r w:rsidR="00D0600D" w:rsidRPr="009817DA">
        <w:rPr>
          <w:rFonts w:ascii="Calibri" w:hAnsi="Calibri"/>
          <w:sz w:val="20"/>
          <w:szCs w:val="20"/>
        </w:rPr>
        <w:t xml:space="preserve"> future protocols.   A</w:t>
      </w:r>
      <w:r w:rsidR="00C24F1E" w:rsidRPr="009817DA">
        <w:rPr>
          <w:rFonts w:ascii="Calibri" w:hAnsi="Calibri"/>
          <w:sz w:val="20"/>
          <w:szCs w:val="20"/>
        </w:rPr>
        <w:t xml:space="preserve"> well-written study describing </w:t>
      </w:r>
      <w:r w:rsidR="00D0600D" w:rsidRPr="009817DA">
        <w:rPr>
          <w:rFonts w:ascii="Calibri" w:hAnsi="Calibri"/>
          <w:sz w:val="20"/>
          <w:szCs w:val="20"/>
        </w:rPr>
        <w:t xml:space="preserve">results of compliance/non-compliance with a </w:t>
      </w:r>
      <w:r w:rsidR="007B5A46">
        <w:rPr>
          <w:rFonts w:ascii="Calibri" w:hAnsi="Calibri"/>
          <w:sz w:val="20"/>
          <w:szCs w:val="20"/>
        </w:rPr>
        <w:t xml:space="preserve">current </w:t>
      </w:r>
      <w:r w:rsidR="00D0600D" w:rsidRPr="009817DA">
        <w:rPr>
          <w:rFonts w:ascii="Calibri" w:hAnsi="Calibri"/>
          <w:sz w:val="20"/>
          <w:szCs w:val="20"/>
        </w:rPr>
        <w:t>protocol</w:t>
      </w:r>
      <w:r w:rsidR="00C24F1E" w:rsidRPr="009817DA">
        <w:rPr>
          <w:rFonts w:ascii="Calibri" w:hAnsi="Calibri"/>
          <w:sz w:val="20"/>
          <w:szCs w:val="20"/>
        </w:rPr>
        <w:t xml:space="preserve"> will have a strong possibility of being published. </w:t>
      </w: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</w:p>
    <w:p w:rsidR="0066690F" w:rsidRDefault="0066690F" w:rsidP="008F2290">
      <w:pPr>
        <w:rPr>
          <w:rFonts w:ascii="Calibri" w:hAnsi="Calibri"/>
          <w:b/>
          <w:sz w:val="20"/>
          <w:szCs w:val="20"/>
        </w:rPr>
      </w:pPr>
    </w:p>
    <w:p w:rsidR="002B0F3C" w:rsidRDefault="002B0F3C" w:rsidP="008F2290">
      <w:pPr>
        <w:rPr>
          <w:rFonts w:ascii="Calibri" w:hAnsi="Calibri"/>
          <w:b/>
          <w:sz w:val="20"/>
          <w:szCs w:val="20"/>
        </w:rPr>
      </w:pPr>
    </w:p>
    <w:p w:rsidR="008F2290" w:rsidRPr="009817DA" w:rsidRDefault="008F2290" w:rsidP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>Commitments:           ___________</w:t>
      </w:r>
      <w:r w:rsidR="002B0F3C">
        <w:rPr>
          <w:rFonts w:ascii="Calibri" w:hAnsi="Calibri"/>
          <w:b/>
          <w:sz w:val="20"/>
          <w:szCs w:val="20"/>
        </w:rPr>
        <w:t>____</w:t>
      </w:r>
      <w:r w:rsidR="002B0F3C">
        <w:rPr>
          <w:rFonts w:ascii="Calibri" w:hAnsi="Calibri"/>
          <w:b/>
          <w:sz w:val="20"/>
          <w:szCs w:val="20"/>
        </w:rPr>
        <w:tab/>
        <w:t xml:space="preserve">      </w:t>
      </w:r>
      <w:r w:rsidRPr="009817DA">
        <w:rPr>
          <w:rFonts w:ascii="Calibri" w:hAnsi="Calibri"/>
          <w:b/>
          <w:sz w:val="20"/>
          <w:szCs w:val="20"/>
        </w:rPr>
        <w:t>_________</w:t>
      </w:r>
      <w:r w:rsidR="002B0F3C">
        <w:rPr>
          <w:rFonts w:ascii="Calibri" w:hAnsi="Calibri"/>
          <w:b/>
          <w:sz w:val="20"/>
          <w:szCs w:val="20"/>
        </w:rPr>
        <w:t>_______</w:t>
      </w:r>
      <w:r w:rsidR="002B0F3C">
        <w:rPr>
          <w:rFonts w:ascii="Calibri" w:hAnsi="Calibri"/>
          <w:b/>
          <w:sz w:val="20"/>
          <w:szCs w:val="20"/>
        </w:rPr>
        <w:tab/>
        <w:t xml:space="preserve">         </w:t>
      </w:r>
      <w:r w:rsidRPr="009817DA">
        <w:rPr>
          <w:rFonts w:ascii="Calibri" w:hAnsi="Calibri"/>
          <w:b/>
          <w:sz w:val="20"/>
          <w:szCs w:val="20"/>
        </w:rPr>
        <w:t>__________</w:t>
      </w:r>
      <w:r w:rsidR="005C4841">
        <w:rPr>
          <w:rFonts w:ascii="Calibri" w:hAnsi="Calibri"/>
          <w:b/>
          <w:sz w:val="20"/>
          <w:szCs w:val="20"/>
        </w:rPr>
        <w:t>_____</w:t>
      </w:r>
    </w:p>
    <w:p w:rsidR="008F2290" w:rsidRPr="009817DA" w:rsidRDefault="008F2290">
      <w:pPr>
        <w:rPr>
          <w:rFonts w:ascii="Calibri" w:hAnsi="Calibri"/>
          <w:b/>
          <w:sz w:val="20"/>
          <w:szCs w:val="20"/>
        </w:rPr>
      </w:pPr>
      <w:r w:rsidRPr="009817DA">
        <w:rPr>
          <w:rFonts w:ascii="Calibri" w:hAnsi="Calibri"/>
          <w:b/>
          <w:sz w:val="20"/>
          <w:szCs w:val="20"/>
        </w:rPr>
        <w:tab/>
      </w:r>
      <w:r w:rsidRPr="009817DA">
        <w:rPr>
          <w:rFonts w:ascii="Calibri" w:hAnsi="Calibri"/>
          <w:b/>
          <w:sz w:val="20"/>
          <w:szCs w:val="20"/>
        </w:rPr>
        <w:tab/>
      </w:r>
      <w:r w:rsidRPr="009817DA">
        <w:rPr>
          <w:rFonts w:ascii="Calibri" w:hAnsi="Calibri"/>
          <w:b/>
          <w:sz w:val="20"/>
          <w:szCs w:val="20"/>
        </w:rPr>
        <w:tab/>
        <w:t>Resident</w:t>
      </w:r>
      <w:r w:rsidRPr="009817DA">
        <w:rPr>
          <w:rFonts w:ascii="Calibri" w:hAnsi="Calibri"/>
          <w:b/>
          <w:sz w:val="20"/>
          <w:szCs w:val="20"/>
        </w:rPr>
        <w:tab/>
      </w:r>
      <w:r w:rsidRPr="009817DA">
        <w:rPr>
          <w:rFonts w:ascii="Calibri" w:hAnsi="Calibri"/>
          <w:b/>
          <w:sz w:val="20"/>
          <w:szCs w:val="20"/>
        </w:rPr>
        <w:tab/>
        <w:t>Preceptor</w:t>
      </w:r>
      <w:r w:rsidRPr="009817DA">
        <w:rPr>
          <w:rFonts w:ascii="Calibri" w:hAnsi="Calibri"/>
          <w:b/>
          <w:sz w:val="20"/>
          <w:szCs w:val="20"/>
        </w:rPr>
        <w:tab/>
      </w:r>
      <w:r w:rsidRPr="009817DA">
        <w:rPr>
          <w:rFonts w:ascii="Calibri" w:hAnsi="Calibri"/>
          <w:b/>
          <w:sz w:val="20"/>
          <w:szCs w:val="20"/>
        </w:rPr>
        <w:tab/>
      </w:r>
      <w:r w:rsidR="005C4841">
        <w:rPr>
          <w:rFonts w:ascii="Calibri" w:hAnsi="Calibri"/>
          <w:b/>
          <w:sz w:val="20"/>
          <w:szCs w:val="20"/>
        </w:rPr>
        <w:t xml:space="preserve">   </w:t>
      </w:r>
      <w:r w:rsidRPr="009817DA">
        <w:rPr>
          <w:rFonts w:ascii="Calibri" w:hAnsi="Calibri"/>
          <w:b/>
          <w:sz w:val="20"/>
          <w:szCs w:val="20"/>
        </w:rPr>
        <w:t>Oth</w:t>
      </w:r>
      <w:r w:rsidR="008D2A6D" w:rsidRPr="009817DA">
        <w:rPr>
          <w:rFonts w:ascii="Calibri" w:hAnsi="Calibri"/>
          <w:b/>
          <w:sz w:val="20"/>
          <w:szCs w:val="20"/>
        </w:rPr>
        <w:t>er</w:t>
      </w:r>
    </w:p>
    <w:p w:rsidR="005D2A75" w:rsidRDefault="005D2A75">
      <w:pPr>
        <w:rPr>
          <w:rFonts w:ascii="Calibri" w:hAnsi="Calibri"/>
          <w:b/>
          <w:sz w:val="20"/>
          <w:szCs w:val="20"/>
        </w:rPr>
      </w:pPr>
    </w:p>
    <w:p w:rsidR="00830C69" w:rsidRPr="00590E98" w:rsidRDefault="00830C69">
      <w:pPr>
        <w:rPr>
          <w:rFonts w:ascii="Calibri" w:hAnsi="Calibri"/>
          <w:b/>
          <w:sz w:val="16"/>
          <w:szCs w:val="20"/>
        </w:rPr>
      </w:pPr>
      <w:r w:rsidRPr="00590E98">
        <w:rPr>
          <w:rFonts w:ascii="Calibri" w:hAnsi="Calibri"/>
          <w:b/>
          <w:sz w:val="16"/>
          <w:szCs w:val="20"/>
        </w:rPr>
        <w:t>References:</w:t>
      </w:r>
    </w:p>
    <w:p w:rsidR="00830C69" w:rsidRPr="00590E98" w:rsidRDefault="00830C69">
      <w:pPr>
        <w:rPr>
          <w:rFonts w:ascii="Calibri" w:hAnsi="Calibri"/>
          <w:b/>
          <w:sz w:val="16"/>
          <w:szCs w:val="20"/>
        </w:rPr>
      </w:pPr>
    </w:p>
    <w:p w:rsidR="00830C69" w:rsidRPr="00590E98" w:rsidRDefault="00830C69" w:rsidP="00B30EDE">
      <w:pPr>
        <w:pStyle w:val="ListParagraph"/>
        <w:numPr>
          <w:ilvl w:val="0"/>
          <w:numId w:val="8"/>
        </w:numPr>
        <w:rPr>
          <w:rFonts w:ascii="Calibri" w:hAnsi="Calibri"/>
          <w:sz w:val="16"/>
          <w:szCs w:val="20"/>
        </w:rPr>
      </w:pPr>
      <w:r w:rsidRPr="00590E98">
        <w:rPr>
          <w:rFonts w:ascii="Calibri" w:hAnsi="Calibri"/>
          <w:sz w:val="16"/>
          <w:szCs w:val="20"/>
        </w:rPr>
        <w:t>Dortch MJ et al. Surg</w:t>
      </w:r>
      <w:r w:rsidR="0014371C" w:rsidRPr="00590E98">
        <w:rPr>
          <w:rFonts w:ascii="Calibri" w:hAnsi="Calibri"/>
          <w:sz w:val="16"/>
          <w:szCs w:val="20"/>
        </w:rPr>
        <w:t>ical</w:t>
      </w:r>
      <w:r w:rsidRPr="00590E98">
        <w:rPr>
          <w:rFonts w:ascii="Calibri" w:hAnsi="Calibri"/>
          <w:sz w:val="16"/>
          <w:szCs w:val="20"/>
        </w:rPr>
        <w:t xml:space="preserve"> Infect</w:t>
      </w:r>
      <w:r w:rsidR="0014371C" w:rsidRPr="00590E98">
        <w:rPr>
          <w:rFonts w:ascii="Calibri" w:hAnsi="Calibri"/>
          <w:sz w:val="16"/>
          <w:szCs w:val="20"/>
        </w:rPr>
        <w:t>ions</w:t>
      </w:r>
      <w:r w:rsidRPr="00590E98">
        <w:rPr>
          <w:rFonts w:ascii="Calibri" w:hAnsi="Calibri"/>
          <w:sz w:val="16"/>
          <w:szCs w:val="20"/>
        </w:rPr>
        <w:t>. 2011</w:t>
      </w:r>
      <w:proofErr w:type="gramStart"/>
      <w:r w:rsidRPr="00590E98">
        <w:rPr>
          <w:rFonts w:ascii="Calibri" w:hAnsi="Calibri"/>
          <w:sz w:val="16"/>
          <w:szCs w:val="20"/>
        </w:rPr>
        <w:t>;12</w:t>
      </w:r>
      <w:proofErr w:type="gramEnd"/>
      <w:r w:rsidRPr="00590E98">
        <w:rPr>
          <w:rFonts w:ascii="Calibri" w:hAnsi="Calibri"/>
          <w:sz w:val="16"/>
          <w:szCs w:val="20"/>
        </w:rPr>
        <w:t>(1):15-25.</w:t>
      </w:r>
    </w:p>
    <w:p w:rsidR="00830C69" w:rsidRPr="00590E98" w:rsidRDefault="00830C69" w:rsidP="00B30EDE">
      <w:pPr>
        <w:pStyle w:val="ListParagraph"/>
        <w:numPr>
          <w:ilvl w:val="0"/>
          <w:numId w:val="8"/>
        </w:numPr>
        <w:rPr>
          <w:rFonts w:ascii="Calibri" w:hAnsi="Calibri"/>
          <w:sz w:val="16"/>
          <w:szCs w:val="20"/>
        </w:rPr>
      </w:pPr>
      <w:proofErr w:type="spellStart"/>
      <w:r w:rsidRPr="00590E98">
        <w:rPr>
          <w:rFonts w:ascii="Calibri" w:hAnsi="Calibri"/>
          <w:sz w:val="16"/>
          <w:szCs w:val="20"/>
        </w:rPr>
        <w:t>Gustilo</w:t>
      </w:r>
      <w:proofErr w:type="spellEnd"/>
      <w:r w:rsidRPr="00590E98">
        <w:rPr>
          <w:rFonts w:ascii="Calibri" w:hAnsi="Calibri"/>
          <w:sz w:val="16"/>
          <w:szCs w:val="20"/>
        </w:rPr>
        <w:t xml:space="preserve"> RB et al. J Trauma. 1984</w:t>
      </w:r>
      <w:proofErr w:type="gramStart"/>
      <w:r w:rsidRPr="00590E98">
        <w:rPr>
          <w:rFonts w:ascii="Calibri" w:hAnsi="Calibri"/>
          <w:sz w:val="16"/>
          <w:szCs w:val="20"/>
        </w:rPr>
        <w:t>;24:742</w:t>
      </w:r>
      <w:proofErr w:type="gramEnd"/>
      <w:r w:rsidRPr="00590E98">
        <w:rPr>
          <w:rFonts w:ascii="Calibri" w:hAnsi="Calibri"/>
          <w:sz w:val="16"/>
          <w:szCs w:val="20"/>
        </w:rPr>
        <w:t>-746.</w:t>
      </w:r>
    </w:p>
    <w:p w:rsidR="00830C69" w:rsidRPr="00590E98" w:rsidRDefault="0014371C" w:rsidP="00B30EDE">
      <w:pPr>
        <w:pStyle w:val="ListParagraph"/>
        <w:numPr>
          <w:ilvl w:val="0"/>
          <w:numId w:val="8"/>
        </w:numPr>
        <w:rPr>
          <w:rFonts w:ascii="Calibri" w:hAnsi="Calibri"/>
          <w:sz w:val="16"/>
          <w:szCs w:val="20"/>
        </w:rPr>
      </w:pPr>
      <w:r w:rsidRPr="00590E98">
        <w:rPr>
          <w:rFonts w:ascii="Calibri" w:hAnsi="Calibri"/>
          <w:sz w:val="16"/>
          <w:szCs w:val="20"/>
        </w:rPr>
        <w:t>Hoff WS et al. Journal of Trauma Injury, Infection, and Critical Care. 2011</w:t>
      </w:r>
      <w:proofErr w:type="gramStart"/>
      <w:r w:rsidRPr="00590E98">
        <w:rPr>
          <w:rFonts w:ascii="Calibri" w:hAnsi="Calibri"/>
          <w:sz w:val="16"/>
          <w:szCs w:val="20"/>
        </w:rPr>
        <w:t>;70</w:t>
      </w:r>
      <w:proofErr w:type="gramEnd"/>
      <w:r w:rsidRPr="00590E98">
        <w:rPr>
          <w:rFonts w:ascii="Calibri" w:hAnsi="Calibri"/>
          <w:sz w:val="16"/>
          <w:szCs w:val="20"/>
        </w:rPr>
        <w:t>(3):751-754.</w:t>
      </w:r>
    </w:p>
    <w:p w:rsidR="00937D95" w:rsidRPr="00590E98" w:rsidRDefault="0014371C" w:rsidP="00B30EDE">
      <w:pPr>
        <w:pStyle w:val="ListParagraph"/>
        <w:numPr>
          <w:ilvl w:val="0"/>
          <w:numId w:val="8"/>
        </w:numPr>
        <w:rPr>
          <w:rFonts w:ascii="Calibri" w:hAnsi="Calibri"/>
          <w:sz w:val="16"/>
          <w:szCs w:val="20"/>
        </w:rPr>
      </w:pPr>
      <w:r w:rsidRPr="00590E98">
        <w:rPr>
          <w:rFonts w:ascii="Calibri" w:hAnsi="Calibri"/>
          <w:sz w:val="16"/>
          <w:szCs w:val="20"/>
        </w:rPr>
        <w:t>Hauser CJ et al. Surgical Infections. 2006:7(4):379-405.</w:t>
      </w:r>
    </w:p>
    <w:p w:rsidR="0014371C" w:rsidRDefault="00B351C0" w:rsidP="00B30EDE">
      <w:pPr>
        <w:pStyle w:val="ListParagraph"/>
        <w:numPr>
          <w:ilvl w:val="0"/>
          <w:numId w:val="8"/>
        </w:numPr>
        <w:rPr>
          <w:rFonts w:ascii="Calibri" w:hAnsi="Calibri"/>
          <w:sz w:val="16"/>
          <w:szCs w:val="20"/>
        </w:rPr>
      </w:pPr>
      <w:r w:rsidRPr="00590E98">
        <w:rPr>
          <w:rFonts w:ascii="Calibri" w:hAnsi="Calibri"/>
          <w:sz w:val="16"/>
          <w:szCs w:val="20"/>
        </w:rPr>
        <w:t>Siegel JD et al. Management of Multi-Drug Resistant Organisms in Healthcare Settings. 2006: 1-74.</w:t>
      </w:r>
    </w:p>
    <w:p w:rsidR="00483466" w:rsidRDefault="005D2A75" w:rsidP="00B30EDE">
      <w:pPr>
        <w:pStyle w:val="ListParagraph"/>
        <w:numPr>
          <w:ilvl w:val="0"/>
          <w:numId w:val="8"/>
        </w:numPr>
        <w:rPr>
          <w:rFonts w:ascii="Calibri" w:hAnsi="Calibri"/>
          <w:sz w:val="16"/>
          <w:szCs w:val="20"/>
        </w:rPr>
      </w:pPr>
      <w:r>
        <w:rPr>
          <w:rFonts w:ascii="Calibri" w:hAnsi="Calibri"/>
          <w:sz w:val="16"/>
          <w:szCs w:val="20"/>
        </w:rPr>
        <w:t xml:space="preserve">Mehta RL </w:t>
      </w:r>
      <w:r w:rsidR="00483466" w:rsidRPr="00483466">
        <w:rPr>
          <w:rFonts w:ascii="Calibri" w:hAnsi="Calibri"/>
          <w:sz w:val="16"/>
          <w:szCs w:val="20"/>
        </w:rPr>
        <w:t xml:space="preserve">et al. Acute Kidney Injury Network: report of an initiative to improve outcomes in acute kidney injury. </w:t>
      </w:r>
      <w:proofErr w:type="spellStart"/>
      <w:r w:rsidR="00483466" w:rsidRPr="00483466">
        <w:rPr>
          <w:rFonts w:ascii="Calibri" w:hAnsi="Calibri"/>
          <w:i/>
          <w:iCs/>
          <w:sz w:val="16"/>
          <w:szCs w:val="20"/>
        </w:rPr>
        <w:t>Crit</w:t>
      </w:r>
      <w:proofErr w:type="spellEnd"/>
      <w:r w:rsidR="00483466" w:rsidRPr="00483466">
        <w:rPr>
          <w:rFonts w:ascii="Calibri" w:hAnsi="Calibri"/>
          <w:i/>
          <w:iCs/>
          <w:sz w:val="16"/>
          <w:szCs w:val="20"/>
        </w:rPr>
        <w:t xml:space="preserve"> Care</w:t>
      </w:r>
      <w:r w:rsidR="00483466" w:rsidRPr="00483466">
        <w:rPr>
          <w:rFonts w:ascii="Calibri" w:hAnsi="Calibri"/>
          <w:sz w:val="16"/>
          <w:szCs w:val="20"/>
        </w:rPr>
        <w:t>. 2007</w:t>
      </w:r>
      <w:proofErr w:type="gramStart"/>
      <w:r w:rsidR="00483466" w:rsidRPr="00483466">
        <w:rPr>
          <w:rFonts w:ascii="Calibri" w:hAnsi="Calibri"/>
          <w:sz w:val="16"/>
          <w:szCs w:val="20"/>
        </w:rPr>
        <w:t>;11</w:t>
      </w:r>
      <w:proofErr w:type="gramEnd"/>
      <w:r w:rsidR="00483466" w:rsidRPr="00483466">
        <w:rPr>
          <w:rFonts w:ascii="Calibri" w:hAnsi="Calibri"/>
          <w:sz w:val="16"/>
          <w:szCs w:val="20"/>
        </w:rPr>
        <w:t>(2):R31</w:t>
      </w:r>
      <w:r>
        <w:rPr>
          <w:rFonts w:ascii="Calibri" w:hAnsi="Calibri"/>
          <w:sz w:val="16"/>
          <w:szCs w:val="20"/>
        </w:rPr>
        <w:t>.</w:t>
      </w:r>
    </w:p>
    <w:p w:rsidR="005D2A75" w:rsidRPr="00590E98" w:rsidRDefault="005D2A75" w:rsidP="005D2A75">
      <w:pPr>
        <w:pStyle w:val="ListParagraph"/>
        <w:ind w:left="360"/>
        <w:rPr>
          <w:rFonts w:ascii="Calibri" w:hAnsi="Calibri"/>
          <w:sz w:val="16"/>
          <w:szCs w:val="20"/>
        </w:rPr>
      </w:pPr>
    </w:p>
    <w:sectPr w:rsidR="005D2A75" w:rsidRPr="00590E98" w:rsidSect="008F2290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F8" w:rsidRDefault="00A36AF8" w:rsidP="00DF367D">
      <w:r>
        <w:separator/>
      </w:r>
    </w:p>
  </w:endnote>
  <w:endnote w:type="continuationSeparator" w:id="0">
    <w:p w:rsidR="00A36AF8" w:rsidRDefault="00A36AF8" w:rsidP="00DF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532233"/>
      <w:docPartObj>
        <w:docPartGallery w:val="Page Numbers (Bottom of Page)"/>
        <w:docPartUnique/>
      </w:docPartObj>
    </w:sdtPr>
    <w:sdtContent>
      <w:p w:rsidR="00DF367D" w:rsidRDefault="00DF367D">
        <w:pPr>
          <w:pStyle w:val="Footer"/>
          <w:jc w:val="right"/>
        </w:pPr>
        <w:r w:rsidRPr="00DF367D">
          <w:rPr>
            <w:rFonts w:asciiTheme="minorHAnsi" w:hAnsiTheme="minorHAnsi"/>
            <w:sz w:val="16"/>
            <w:szCs w:val="16"/>
          </w:rPr>
          <w:fldChar w:fldCharType="begin"/>
        </w:r>
        <w:r w:rsidRPr="00DF367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DF367D">
          <w:rPr>
            <w:rFonts w:asciiTheme="minorHAnsi" w:hAnsiTheme="minorHAnsi"/>
            <w:sz w:val="16"/>
            <w:szCs w:val="16"/>
          </w:rPr>
          <w:fldChar w:fldCharType="separate"/>
        </w:r>
        <w:r w:rsidR="00215C73">
          <w:rPr>
            <w:rFonts w:asciiTheme="minorHAnsi" w:hAnsiTheme="minorHAnsi"/>
            <w:noProof/>
            <w:sz w:val="16"/>
            <w:szCs w:val="16"/>
          </w:rPr>
          <w:t>4</w:t>
        </w:r>
        <w:r w:rsidRPr="00DF367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F367D" w:rsidRDefault="00DF3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F8" w:rsidRDefault="00A36AF8" w:rsidP="00DF367D">
      <w:r>
        <w:separator/>
      </w:r>
    </w:p>
  </w:footnote>
  <w:footnote w:type="continuationSeparator" w:id="0">
    <w:p w:rsidR="00A36AF8" w:rsidRDefault="00A36AF8" w:rsidP="00DF3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574"/>
    <w:multiLevelType w:val="hybridMultilevel"/>
    <w:tmpl w:val="700E4202"/>
    <w:lvl w:ilvl="0" w:tplc="E44A7A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EA9"/>
    <w:multiLevelType w:val="hybridMultilevel"/>
    <w:tmpl w:val="93C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A28"/>
    <w:multiLevelType w:val="hybridMultilevel"/>
    <w:tmpl w:val="CA2A3242"/>
    <w:lvl w:ilvl="0" w:tplc="4E9C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F0B43"/>
    <w:multiLevelType w:val="hybridMultilevel"/>
    <w:tmpl w:val="406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5711B"/>
    <w:multiLevelType w:val="hybridMultilevel"/>
    <w:tmpl w:val="CAD01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60B24"/>
    <w:multiLevelType w:val="hybridMultilevel"/>
    <w:tmpl w:val="4D6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11C66"/>
    <w:multiLevelType w:val="hybridMultilevel"/>
    <w:tmpl w:val="5FC4411A"/>
    <w:lvl w:ilvl="0" w:tplc="E44A7A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9469B"/>
    <w:multiLevelType w:val="hybridMultilevel"/>
    <w:tmpl w:val="FD24D5CA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BA47F7"/>
    <w:multiLevelType w:val="hybridMultilevel"/>
    <w:tmpl w:val="3DD4732C"/>
    <w:lvl w:ilvl="0" w:tplc="E44A7A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D485F"/>
    <w:multiLevelType w:val="hybridMultilevel"/>
    <w:tmpl w:val="3042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47"/>
    <w:rsid w:val="00012551"/>
    <w:rsid w:val="00025B57"/>
    <w:rsid w:val="00055108"/>
    <w:rsid w:val="000A22B0"/>
    <w:rsid w:val="000A5F15"/>
    <w:rsid w:val="000C6476"/>
    <w:rsid w:val="0014371C"/>
    <w:rsid w:val="001770A8"/>
    <w:rsid w:val="001B4430"/>
    <w:rsid w:val="001E21F5"/>
    <w:rsid w:val="00207907"/>
    <w:rsid w:val="00212214"/>
    <w:rsid w:val="00215C73"/>
    <w:rsid w:val="00232FF8"/>
    <w:rsid w:val="002B0F3C"/>
    <w:rsid w:val="002B1DA3"/>
    <w:rsid w:val="002C0F3C"/>
    <w:rsid w:val="0036445C"/>
    <w:rsid w:val="00366750"/>
    <w:rsid w:val="003A0C30"/>
    <w:rsid w:val="003B690E"/>
    <w:rsid w:val="003D1E7D"/>
    <w:rsid w:val="0040063E"/>
    <w:rsid w:val="00436727"/>
    <w:rsid w:val="00483466"/>
    <w:rsid w:val="00486EF5"/>
    <w:rsid w:val="00487E7B"/>
    <w:rsid w:val="004A4432"/>
    <w:rsid w:val="004B06CB"/>
    <w:rsid w:val="00507D3D"/>
    <w:rsid w:val="005337DE"/>
    <w:rsid w:val="00542469"/>
    <w:rsid w:val="00551409"/>
    <w:rsid w:val="00590E98"/>
    <w:rsid w:val="00596D29"/>
    <w:rsid w:val="005A57C9"/>
    <w:rsid w:val="005B0F6E"/>
    <w:rsid w:val="005C4841"/>
    <w:rsid w:val="005D2A75"/>
    <w:rsid w:val="005F515B"/>
    <w:rsid w:val="0066690F"/>
    <w:rsid w:val="006875C8"/>
    <w:rsid w:val="006A7D9E"/>
    <w:rsid w:val="006D4D99"/>
    <w:rsid w:val="006F2F54"/>
    <w:rsid w:val="00726B97"/>
    <w:rsid w:val="00734772"/>
    <w:rsid w:val="007940EF"/>
    <w:rsid w:val="007B516A"/>
    <w:rsid w:val="007B5A46"/>
    <w:rsid w:val="007D4B65"/>
    <w:rsid w:val="007E7F51"/>
    <w:rsid w:val="008137A2"/>
    <w:rsid w:val="00820B8B"/>
    <w:rsid w:val="00830C69"/>
    <w:rsid w:val="008D2A6D"/>
    <w:rsid w:val="008E3C3F"/>
    <w:rsid w:val="008F1360"/>
    <w:rsid w:val="008F2290"/>
    <w:rsid w:val="00903386"/>
    <w:rsid w:val="009223C5"/>
    <w:rsid w:val="00937D95"/>
    <w:rsid w:val="0094187E"/>
    <w:rsid w:val="009716C3"/>
    <w:rsid w:val="00973879"/>
    <w:rsid w:val="0097796D"/>
    <w:rsid w:val="009817DA"/>
    <w:rsid w:val="009B0522"/>
    <w:rsid w:val="009C15E3"/>
    <w:rsid w:val="00A052FE"/>
    <w:rsid w:val="00A27444"/>
    <w:rsid w:val="00A36AF8"/>
    <w:rsid w:val="00A82C8D"/>
    <w:rsid w:val="00A83B3E"/>
    <w:rsid w:val="00A966B3"/>
    <w:rsid w:val="00AB2E11"/>
    <w:rsid w:val="00AC3697"/>
    <w:rsid w:val="00AE25A8"/>
    <w:rsid w:val="00B30EDE"/>
    <w:rsid w:val="00B351C0"/>
    <w:rsid w:val="00B563C0"/>
    <w:rsid w:val="00B74596"/>
    <w:rsid w:val="00BC118C"/>
    <w:rsid w:val="00BC177B"/>
    <w:rsid w:val="00C24F1E"/>
    <w:rsid w:val="00CA20E0"/>
    <w:rsid w:val="00CA3E36"/>
    <w:rsid w:val="00CA4912"/>
    <w:rsid w:val="00CB1FF5"/>
    <w:rsid w:val="00CF51FC"/>
    <w:rsid w:val="00D0600D"/>
    <w:rsid w:val="00D1341E"/>
    <w:rsid w:val="00D4038B"/>
    <w:rsid w:val="00D76D57"/>
    <w:rsid w:val="00D829BA"/>
    <w:rsid w:val="00DF367D"/>
    <w:rsid w:val="00E31CD9"/>
    <w:rsid w:val="00E37D09"/>
    <w:rsid w:val="00E91A3B"/>
    <w:rsid w:val="00EB16E1"/>
    <w:rsid w:val="00EB7A0F"/>
    <w:rsid w:val="00EC596F"/>
    <w:rsid w:val="00ED4B47"/>
    <w:rsid w:val="00F96F5E"/>
    <w:rsid w:val="00FB5692"/>
    <w:rsid w:val="00FD1DC9"/>
    <w:rsid w:val="00FE62AD"/>
    <w:rsid w:val="00FF042C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ED4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C50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E5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830C69"/>
    <w:pPr>
      <w:ind w:left="720"/>
      <w:contextualSpacing/>
    </w:pPr>
  </w:style>
  <w:style w:type="paragraph" w:styleId="Header">
    <w:name w:val="header"/>
    <w:basedOn w:val="Normal"/>
    <w:link w:val="HeaderChar"/>
    <w:rsid w:val="00AB2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E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11"/>
    <w:rPr>
      <w:sz w:val="24"/>
      <w:szCs w:val="24"/>
    </w:rPr>
  </w:style>
  <w:style w:type="table" w:styleId="TableGrid">
    <w:name w:val="Table Grid"/>
    <w:basedOn w:val="TableNormal"/>
    <w:rsid w:val="00A05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6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834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3F0F87-1FF9-3442-85FF-025D271F9969}" type="doc">
      <dgm:prSet loTypeId="urn:microsoft.com/office/officeart/2005/8/layout/hierarchy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0329559-4696-6C4C-89BE-4573B44E2F89}">
      <dgm:prSet phldrT="[Text]" custT="1"/>
      <dgm:spPr/>
      <dgm:t>
        <a:bodyPr/>
        <a:lstStyle/>
        <a:p>
          <a:r>
            <a:rPr lang="en-US" sz="900" b="1">
              <a:solidFill>
                <a:srgbClr val="000000"/>
              </a:solidFill>
            </a:rPr>
            <a:t>TRAUMA PATIENTS WITH </a:t>
          </a:r>
        </a:p>
        <a:p>
          <a:r>
            <a:rPr lang="en-US" sz="900" b="1">
              <a:solidFill>
                <a:srgbClr val="000000"/>
              </a:solidFill>
            </a:rPr>
            <a:t>OPEN FRACTURES</a:t>
          </a:r>
        </a:p>
        <a:p>
          <a:endParaRPr lang="en-US" sz="900" b="1">
            <a:solidFill>
              <a:srgbClr val="000000"/>
            </a:solidFill>
          </a:endParaRPr>
        </a:p>
        <a:p>
          <a:r>
            <a:rPr lang="en-US" sz="900">
              <a:solidFill>
                <a:srgbClr val="000000"/>
              </a:solidFill>
            </a:rPr>
            <a:t>(Aug 1, 2011-July 31, 2012)</a:t>
          </a:r>
        </a:p>
      </dgm:t>
    </dgm:pt>
    <dgm:pt modelId="{B970DB8A-6034-894B-9FB5-73F870BDB715}" type="parTrans" cxnId="{C46E73D3-2BF6-354A-85BC-1410FA9C1EBA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23AD7314-9192-8343-BE81-5F67AE084BFB}" type="sibTrans" cxnId="{C46E73D3-2BF6-354A-85BC-1410FA9C1EBA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151FDB2E-F975-8A42-8F2D-53BCA9A29E00}">
      <dgm:prSet phldrT="[Text]" custT="1"/>
      <dgm:spPr/>
      <dgm:t>
        <a:bodyPr/>
        <a:lstStyle/>
        <a:p>
          <a:r>
            <a:rPr lang="en-US" sz="900" b="1">
              <a:solidFill>
                <a:srgbClr val="000000"/>
              </a:solidFill>
            </a:rPr>
            <a:t>INCLUDED:  </a:t>
          </a:r>
        </a:p>
        <a:p>
          <a:r>
            <a:rPr lang="en-US" sz="900">
              <a:solidFill>
                <a:srgbClr val="000000"/>
              </a:solidFill>
            </a:rPr>
            <a:t>Patients ≥ 18 yrs in Trauma Unit ≥  48h</a:t>
          </a:r>
        </a:p>
      </dgm:t>
    </dgm:pt>
    <dgm:pt modelId="{0E4903F7-DAC8-DB43-B40B-A160F8A10098}" type="parTrans" cxnId="{C2549DAA-E253-AA40-81BF-DD92A2CFB509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B2038681-D4F6-7E4C-ABC4-FAACB739B0EE}" type="sibTrans" cxnId="{C2549DAA-E253-AA40-81BF-DD92A2CFB509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1FACCA50-A3F0-9A4A-B298-BB4C8FC2E8FF}">
      <dgm:prSet phldrT="[Text]" custT="1"/>
      <dgm:spPr/>
      <dgm:t>
        <a:bodyPr/>
        <a:lstStyle/>
        <a:p>
          <a:r>
            <a:rPr lang="en-US" sz="900">
              <a:solidFill>
                <a:srgbClr val="000000"/>
              </a:solidFill>
            </a:rPr>
            <a:t> </a:t>
          </a:r>
          <a:r>
            <a:rPr lang="en-US" sz="900" b="1">
              <a:solidFill>
                <a:srgbClr val="000000"/>
              </a:solidFill>
            </a:rPr>
            <a:t>AP + Group</a:t>
          </a:r>
          <a:r>
            <a:rPr lang="en-US" sz="900">
              <a:solidFill>
                <a:srgbClr val="000000"/>
              </a:solidFill>
            </a:rPr>
            <a:t>:  Open Fracture Antibiotic Protocol FOLLOWED</a:t>
          </a:r>
        </a:p>
      </dgm:t>
    </dgm:pt>
    <dgm:pt modelId="{8EDF78F9-9295-2449-9E32-1776816726C6}" type="parTrans" cxnId="{BC5D0C9C-B761-0040-9FA0-ACD81684FE8A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F6E4464B-541A-C441-A073-F88F9B08ED1E}" type="sibTrans" cxnId="{BC5D0C9C-B761-0040-9FA0-ACD81684FE8A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53F4B600-C9C2-AD4D-819D-A7E08246D399}">
      <dgm:prSet phldrT="[Text]" custT="1"/>
      <dgm:spPr/>
      <dgm:t>
        <a:bodyPr/>
        <a:lstStyle/>
        <a:p>
          <a:r>
            <a:rPr lang="en-US" sz="900" b="1">
              <a:solidFill>
                <a:srgbClr val="000000"/>
              </a:solidFill>
            </a:rPr>
            <a:t>AP- Group</a:t>
          </a:r>
          <a:r>
            <a:rPr lang="en-US" sz="900">
              <a:solidFill>
                <a:srgbClr val="000000"/>
              </a:solidFill>
            </a:rPr>
            <a:t>:  Open Fracture Antibiotic Protocol NOT FOLLOWED</a:t>
          </a:r>
        </a:p>
      </dgm:t>
    </dgm:pt>
    <dgm:pt modelId="{D654BFBB-F58E-6344-9368-04FB5DA1DDFA}" type="parTrans" cxnId="{2DF961E2-8C88-3145-AF9B-95177B12AB1A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BFB1AB15-7F29-7F49-B270-513A5A7C20FB}" type="sibTrans" cxnId="{2DF961E2-8C88-3145-AF9B-95177B12AB1A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F6A28012-DDDB-C549-8728-6C3828056FFE}">
      <dgm:prSet phldrT="[Text]" custT="1"/>
      <dgm:spPr/>
      <dgm:t>
        <a:bodyPr/>
        <a:lstStyle/>
        <a:p>
          <a:pPr algn="ctr"/>
          <a:r>
            <a:rPr lang="en-US" sz="900" b="1">
              <a:solidFill>
                <a:srgbClr val="000000"/>
              </a:solidFill>
            </a:rPr>
            <a:t>EXCLUDED:  </a:t>
          </a:r>
        </a:p>
        <a:p>
          <a:pPr algn="ctr"/>
          <a:r>
            <a:rPr lang="en-US" sz="900">
              <a:solidFill>
                <a:srgbClr val="000000"/>
              </a:solidFill>
            </a:rPr>
            <a:t>Patients &lt; 18 yrs or meeting exclusion criteria (listed above)</a:t>
          </a:r>
        </a:p>
      </dgm:t>
    </dgm:pt>
    <dgm:pt modelId="{B2556585-A0FC-6147-8742-5AC2BCC4B093}" type="parTrans" cxnId="{3E166090-3EE2-A149-B3B8-DDEB45B2E1E6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04815B8A-5ADD-7346-86FD-571FD67F6F73}" type="sibTrans" cxnId="{3E166090-3EE2-A149-B3B8-DDEB45B2E1E6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A57E7A0B-CA24-4D42-8B4F-7F8795414A88}">
      <dgm:prSet custT="1"/>
      <dgm:spPr/>
      <dgm:t>
        <a:bodyPr/>
        <a:lstStyle/>
        <a:p>
          <a:r>
            <a:rPr lang="en-US" sz="900">
              <a:solidFill>
                <a:srgbClr val="000000"/>
              </a:solidFill>
            </a:rPr>
            <a:t>Noncompliance w/  DURATION</a:t>
          </a:r>
        </a:p>
      </dgm:t>
    </dgm:pt>
    <dgm:pt modelId="{FF2DE8C9-17F9-AA4E-BC7E-F2FCBB86BC5F}" type="parTrans" cxnId="{67CE38FF-EC72-174D-8CE0-6EDEE807EF9E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0DF9ABF4-F40B-6644-A743-81C48F9D6D1A}" type="sibTrans" cxnId="{67CE38FF-EC72-174D-8CE0-6EDEE807EF9E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1B449A2B-9441-C346-9B9C-0B7AB27C2791}">
      <dgm:prSet custT="1"/>
      <dgm:spPr/>
      <dgm:t>
        <a:bodyPr/>
        <a:lstStyle/>
        <a:p>
          <a:r>
            <a:rPr lang="en-US" sz="900">
              <a:solidFill>
                <a:srgbClr val="000000"/>
              </a:solidFill>
            </a:rPr>
            <a:t>Noncompliance w/ ANTIBIOTIC CHOICE</a:t>
          </a:r>
        </a:p>
      </dgm:t>
    </dgm:pt>
    <dgm:pt modelId="{A4C9352A-AD95-1148-98CF-B1ADEE5CEF64}" type="parTrans" cxnId="{FA00E01D-8FF4-0B45-8314-65C8703F7163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6CB81C55-5451-7E4D-AB82-67EDE6BFC24B}" type="sibTrans" cxnId="{FA00E01D-8FF4-0B45-8314-65C8703F7163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8320672F-D430-BB41-A4AC-D5072FFF8E70}">
      <dgm:prSet custT="1"/>
      <dgm:spPr/>
      <dgm:t>
        <a:bodyPr/>
        <a:lstStyle/>
        <a:p>
          <a:r>
            <a:rPr lang="en-US" sz="900">
              <a:solidFill>
                <a:srgbClr val="000000"/>
              </a:solidFill>
            </a:rPr>
            <a:t>Noncompliance w/ REGIMEN FOR FRACTURE GRADE</a:t>
          </a:r>
        </a:p>
      </dgm:t>
    </dgm:pt>
    <dgm:pt modelId="{5E5D1B30-442C-6642-8C34-8D56B9C89610}" type="parTrans" cxnId="{91A886E2-B4E0-324D-9D1D-D09E252F33F6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AE7D47E2-F24A-E441-AB1A-10D9FFC6EC06}" type="sibTrans" cxnId="{91A886E2-B4E0-324D-9D1D-D09E252F33F6}">
      <dgm:prSet/>
      <dgm:spPr/>
      <dgm:t>
        <a:bodyPr/>
        <a:lstStyle/>
        <a:p>
          <a:endParaRPr lang="en-US" sz="900">
            <a:solidFill>
              <a:srgbClr val="000000"/>
            </a:solidFill>
          </a:endParaRPr>
        </a:p>
      </dgm:t>
    </dgm:pt>
    <dgm:pt modelId="{7C230B1A-9DFA-334B-BF1A-3A0BD5B0721E}" type="pres">
      <dgm:prSet presAssocID="{873F0F87-1FF9-3442-85FF-025D271F99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C5DC87A-CDA8-3D4A-A7C4-F0045948D057}" type="pres">
      <dgm:prSet presAssocID="{60329559-4696-6C4C-89BE-4573B44E2F89}" presName="hierRoot1" presStyleCnt="0"/>
      <dgm:spPr/>
    </dgm:pt>
    <dgm:pt modelId="{FBA2AD5B-FC88-A142-AFC7-8BA64689359E}" type="pres">
      <dgm:prSet presAssocID="{60329559-4696-6C4C-89BE-4573B44E2F89}" presName="composite" presStyleCnt="0"/>
      <dgm:spPr/>
    </dgm:pt>
    <dgm:pt modelId="{EE311F75-2D3B-DE44-947E-676ACC6EFA80}" type="pres">
      <dgm:prSet presAssocID="{60329559-4696-6C4C-89BE-4573B44E2F89}" presName="background" presStyleLbl="node0" presStyleIdx="0" presStyleCnt="1"/>
      <dgm:spPr/>
    </dgm:pt>
    <dgm:pt modelId="{792CF598-0484-C84C-B919-F0D2FE006E55}" type="pres">
      <dgm:prSet presAssocID="{60329559-4696-6C4C-89BE-4573B44E2F89}" presName="text" presStyleLbl="fgAcc0" presStyleIdx="0" presStyleCnt="1" custScaleX="187453" custScaleY="148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A40B32-9E0A-2644-A2BD-8E2BA2562ADF}" type="pres">
      <dgm:prSet presAssocID="{60329559-4696-6C4C-89BE-4573B44E2F89}" presName="hierChild2" presStyleCnt="0"/>
      <dgm:spPr/>
    </dgm:pt>
    <dgm:pt modelId="{91C23ED0-AF1A-7A48-9803-8A00D6C7496B}" type="pres">
      <dgm:prSet presAssocID="{0E4903F7-DAC8-DB43-B40B-A160F8A10098}" presName="Name10" presStyleLbl="parChTrans1D2" presStyleIdx="0" presStyleCnt="2"/>
      <dgm:spPr/>
      <dgm:t>
        <a:bodyPr/>
        <a:lstStyle/>
        <a:p>
          <a:endParaRPr lang="en-US"/>
        </a:p>
      </dgm:t>
    </dgm:pt>
    <dgm:pt modelId="{C298C5DD-4C5C-6048-A687-CCB3CEEAA5F6}" type="pres">
      <dgm:prSet presAssocID="{151FDB2E-F975-8A42-8F2D-53BCA9A29E00}" presName="hierRoot2" presStyleCnt="0"/>
      <dgm:spPr/>
    </dgm:pt>
    <dgm:pt modelId="{DCD1CAC4-2879-9442-821F-81BA207056C0}" type="pres">
      <dgm:prSet presAssocID="{151FDB2E-F975-8A42-8F2D-53BCA9A29E00}" presName="composite2" presStyleCnt="0"/>
      <dgm:spPr/>
    </dgm:pt>
    <dgm:pt modelId="{20228F72-40E3-DF48-8286-631C0C7EE24A}" type="pres">
      <dgm:prSet presAssocID="{151FDB2E-F975-8A42-8F2D-53BCA9A29E00}" presName="background2" presStyleLbl="node2" presStyleIdx="0" presStyleCnt="2"/>
      <dgm:spPr/>
    </dgm:pt>
    <dgm:pt modelId="{C526018D-CC2E-3D40-9315-4FAA23B3E90B}" type="pres">
      <dgm:prSet presAssocID="{151FDB2E-F975-8A42-8F2D-53BCA9A29E00}" presName="text2" presStyleLbl="fgAcc2" presStyleIdx="0" presStyleCnt="2" custScaleX="135503" custScaleY="1034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326A1A-63DA-D04E-9EDA-C25473F06F23}" type="pres">
      <dgm:prSet presAssocID="{151FDB2E-F975-8A42-8F2D-53BCA9A29E00}" presName="hierChild3" presStyleCnt="0"/>
      <dgm:spPr/>
    </dgm:pt>
    <dgm:pt modelId="{B87C016B-F619-514F-B097-266FC37B9920}" type="pres">
      <dgm:prSet presAssocID="{8EDF78F9-9295-2449-9E32-1776816726C6}" presName="Name17" presStyleLbl="parChTrans1D3" presStyleIdx="0" presStyleCnt="2"/>
      <dgm:spPr/>
      <dgm:t>
        <a:bodyPr/>
        <a:lstStyle/>
        <a:p>
          <a:endParaRPr lang="en-US"/>
        </a:p>
      </dgm:t>
    </dgm:pt>
    <dgm:pt modelId="{6E046122-DECB-2D43-89BA-E9F22F4576B1}" type="pres">
      <dgm:prSet presAssocID="{1FACCA50-A3F0-9A4A-B298-BB4C8FC2E8FF}" presName="hierRoot3" presStyleCnt="0"/>
      <dgm:spPr/>
    </dgm:pt>
    <dgm:pt modelId="{AC68694D-8231-5243-BB91-80C9D9D5D2ED}" type="pres">
      <dgm:prSet presAssocID="{1FACCA50-A3F0-9A4A-B298-BB4C8FC2E8FF}" presName="composite3" presStyleCnt="0"/>
      <dgm:spPr/>
    </dgm:pt>
    <dgm:pt modelId="{ED460C55-87FA-6F41-B9EF-1B1A2A2DFA8A}" type="pres">
      <dgm:prSet presAssocID="{1FACCA50-A3F0-9A4A-B298-BB4C8FC2E8FF}" presName="background3" presStyleLbl="node3" presStyleIdx="0" presStyleCnt="2"/>
      <dgm:spPr/>
    </dgm:pt>
    <dgm:pt modelId="{0704C7F2-92EA-F745-A5C9-467345E24698}" type="pres">
      <dgm:prSet presAssocID="{1FACCA50-A3F0-9A4A-B298-BB4C8FC2E8FF}" presName="text3" presStyleLbl="fgAcc3" presStyleIdx="0" presStyleCnt="2" custScaleX="1198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D7E807-F9B5-4B41-9B1E-A0953356CB72}" type="pres">
      <dgm:prSet presAssocID="{1FACCA50-A3F0-9A4A-B298-BB4C8FC2E8FF}" presName="hierChild4" presStyleCnt="0"/>
      <dgm:spPr/>
    </dgm:pt>
    <dgm:pt modelId="{C641DC5B-9C9F-D240-8360-935D8ECF333E}" type="pres">
      <dgm:prSet presAssocID="{D654BFBB-F58E-6344-9368-04FB5DA1DDFA}" presName="Name17" presStyleLbl="parChTrans1D3" presStyleIdx="1" presStyleCnt="2"/>
      <dgm:spPr/>
      <dgm:t>
        <a:bodyPr/>
        <a:lstStyle/>
        <a:p>
          <a:endParaRPr lang="en-US"/>
        </a:p>
      </dgm:t>
    </dgm:pt>
    <dgm:pt modelId="{698BDD9A-213B-7248-B5CA-4DB944F70240}" type="pres">
      <dgm:prSet presAssocID="{53F4B600-C9C2-AD4D-819D-A7E08246D399}" presName="hierRoot3" presStyleCnt="0"/>
      <dgm:spPr/>
    </dgm:pt>
    <dgm:pt modelId="{AB02F0E8-C094-7D43-9A43-A916234EFFF1}" type="pres">
      <dgm:prSet presAssocID="{53F4B600-C9C2-AD4D-819D-A7E08246D399}" presName="composite3" presStyleCnt="0"/>
      <dgm:spPr/>
    </dgm:pt>
    <dgm:pt modelId="{6B96C338-A1CD-3A42-AD3C-1C5F6D069D12}" type="pres">
      <dgm:prSet presAssocID="{53F4B600-C9C2-AD4D-819D-A7E08246D399}" presName="background3" presStyleLbl="node3" presStyleIdx="1" presStyleCnt="2"/>
      <dgm:spPr/>
    </dgm:pt>
    <dgm:pt modelId="{E71A9388-ECE4-5A47-8A04-F377FBFA28A6}" type="pres">
      <dgm:prSet presAssocID="{53F4B600-C9C2-AD4D-819D-A7E08246D399}" presName="text3" presStyleLbl="fgAcc3" presStyleIdx="1" presStyleCnt="2" custScaleX="1228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B66FF2-531B-5A4C-8FB3-9F04220AB6FF}" type="pres">
      <dgm:prSet presAssocID="{53F4B600-C9C2-AD4D-819D-A7E08246D399}" presName="hierChild4" presStyleCnt="0"/>
      <dgm:spPr/>
    </dgm:pt>
    <dgm:pt modelId="{D844FB85-9979-BD4E-AFB9-52CBDFBC9CC5}" type="pres">
      <dgm:prSet presAssocID="{A4C9352A-AD95-1148-98CF-B1ADEE5CEF64}" presName="Name23" presStyleLbl="parChTrans1D4" presStyleIdx="0" presStyleCnt="3"/>
      <dgm:spPr/>
      <dgm:t>
        <a:bodyPr/>
        <a:lstStyle/>
        <a:p>
          <a:endParaRPr lang="en-US"/>
        </a:p>
      </dgm:t>
    </dgm:pt>
    <dgm:pt modelId="{FE92EB0E-6D74-8A4C-943C-9B00EA98D1FB}" type="pres">
      <dgm:prSet presAssocID="{1B449A2B-9441-C346-9B9C-0B7AB27C2791}" presName="hierRoot4" presStyleCnt="0"/>
      <dgm:spPr/>
    </dgm:pt>
    <dgm:pt modelId="{63AC2FCE-C826-BB40-B375-AA2671093BB9}" type="pres">
      <dgm:prSet presAssocID="{1B449A2B-9441-C346-9B9C-0B7AB27C2791}" presName="composite4" presStyleCnt="0"/>
      <dgm:spPr/>
    </dgm:pt>
    <dgm:pt modelId="{758AB2F5-F281-1049-AC07-A9700305AB2C}" type="pres">
      <dgm:prSet presAssocID="{1B449A2B-9441-C346-9B9C-0B7AB27C2791}" presName="background4" presStyleLbl="node4" presStyleIdx="0" presStyleCnt="3"/>
      <dgm:spPr/>
    </dgm:pt>
    <dgm:pt modelId="{351B77D3-0332-034F-88BF-BF600B83C8B9}" type="pres">
      <dgm:prSet presAssocID="{1B449A2B-9441-C346-9B9C-0B7AB27C2791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1AD779-DB30-CA4D-8EAB-1D0D2BE9F1A5}" type="pres">
      <dgm:prSet presAssocID="{1B449A2B-9441-C346-9B9C-0B7AB27C2791}" presName="hierChild5" presStyleCnt="0"/>
      <dgm:spPr/>
    </dgm:pt>
    <dgm:pt modelId="{93C6D470-12EB-C74B-91D1-F0C45E12F666}" type="pres">
      <dgm:prSet presAssocID="{FF2DE8C9-17F9-AA4E-BC7E-F2FCBB86BC5F}" presName="Name23" presStyleLbl="parChTrans1D4" presStyleIdx="1" presStyleCnt="3"/>
      <dgm:spPr/>
      <dgm:t>
        <a:bodyPr/>
        <a:lstStyle/>
        <a:p>
          <a:endParaRPr lang="en-US"/>
        </a:p>
      </dgm:t>
    </dgm:pt>
    <dgm:pt modelId="{F5F0424D-ED67-9B45-94F0-2003657291CE}" type="pres">
      <dgm:prSet presAssocID="{A57E7A0B-CA24-4D42-8B4F-7F8795414A88}" presName="hierRoot4" presStyleCnt="0"/>
      <dgm:spPr/>
    </dgm:pt>
    <dgm:pt modelId="{CD78EEB2-BBA8-CC4A-9686-CDD438B3B66B}" type="pres">
      <dgm:prSet presAssocID="{A57E7A0B-CA24-4D42-8B4F-7F8795414A88}" presName="composite4" presStyleCnt="0"/>
      <dgm:spPr/>
    </dgm:pt>
    <dgm:pt modelId="{CB777B09-B415-DB49-994F-AA326961181D}" type="pres">
      <dgm:prSet presAssocID="{A57E7A0B-CA24-4D42-8B4F-7F8795414A88}" presName="background4" presStyleLbl="node4" presStyleIdx="1" presStyleCnt="3"/>
      <dgm:spPr/>
    </dgm:pt>
    <dgm:pt modelId="{46CE1D63-BE3A-A843-9252-99D11AC5D650}" type="pres">
      <dgm:prSet presAssocID="{A57E7A0B-CA24-4D42-8B4F-7F8795414A88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71BC8D-95C0-F048-BAAB-58CD6F38B66D}" type="pres">
      <dgm:prSet presAssocID="{A57E7A0B-CA24-4D42-8B4F-7F8795414A88}" presName="hierChild5" presStyleCnt="0"/>
      <dgm:spPr/>
    </dgm:pt>
    <dgm:pt modelId="{9DB9A343-C3CC-E94E-8828-5431B54CE4CE}" type="pres">
      <dgm:prSet presAssocID="{5E5D1B30-442C-6642-8C34-8D56B9C89610}" presName="Name23" presStyleLbl="parChTrans1D4" presStyleIdx="2" presStyleCnt="3"/>
      <dgm:spPr/>
      <dgm:t>
        <a:bodyPr/>
        <a:lstStyle/>
        <a:p>
          <a:endParaRPr lang="en-US"/>
        </a:p>
      </dgm:t>
    </dgm:pt>
    <dgm:pt modelId="{82CF0CB3-AC2E-6C40-BE53-AAEBC1518F0B}" type="pres">
      <dgm:prSet presAssocID="{8320672F-D430-BB41-A4AC-D5072FFF8E70}" presName="hierRoot4" presStyleCnt="0"/>
      <dgm:spPr/>
    </dgm:pt>
    <dgm:pt modelId="{93EB24C0-04B1-7B43-9EE2-0A47A8A1FEFF}" type="pres">
      <dgm:prSet presAssocID="{8320672F-D430-BB41-A4AC-D5072FFF8E70}" presName="composite4" presStyleCnt="0"/>
      <dgm:spPr/>
    </dgm:pt>
    <dgm:pt modelId="{BF3B9623-9639-8B46-BD34-22D17BF8CA8D}" type="pres">
      <dgm:prSet presAssocID="{8320672F-D430-BB41-A4AC-D5072FFF8E70}" presName="background4" presStyleLbl="node4" presStyleIdx="2" presStyleCnt="3"/>
      <dgm:spPr/>
    </dgm:pt>
    <dgm:pt modelId="{CE7599D5-FD14-7E47-858B-D930E1A74EF5}" type="pres">
      <dgm:prSet presAssocID="{8320672F-D430-BB41-A4AC-D5072FFF8E70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850605-1996-AC43-A5B2-9B4FD9747664}" type="pres">
      <dgm:prSet presAssocID="{8320672F-D430-BB41-A4AC-D5072FFF8E70}" presName="hierChild5" presStyleCnt="0"/>
      <dgm:spPr/>
    </dgm:pt>
    <dgm:pt modelId="{B7F3C80C-94AC-B849-9FBD-E2E3A25F950C}" type="pres">
      <dgm:prSet presAssocID="{B2556585-A0FC-6147-8742-5AC2BCC4B093}" presName="Name10" presStyleLbl="parChTrans1D2" presStyleIdx="1" presStyleCnt="2"/>
      <dgm:spPr/>
      <dgm:t>
        <a:bodyPr/>
        <a:lstStyle/>
        <a:p>
          <a:endParaRPr lang="en-US"/>
        </a:p>
      </dgm:t>
    </dgm:pt>
    <dgm:pt modelId="{9CB4D28B-3BC0-DD42-BB16-C1632982E0F3}" type="pres">
      <dgm:prSet presAssocID="{F6A28012-DDDB-C549-8728-6C3828056FFE}" presName="hierRoot2" presStyleCnt="0"/>
      <dgm:spPr/>
    </dgm:pt>
    <dgm:pt modelId="{A6527E05-7E6E-5D49-AE09-73D791133D8E}" type="pres">
      <dgm:prSet presAssocID="{F6A28012-DDDB-C549-8728-6C3828056FFE}" presName="composite2" presStyleCnt="0"/>
      <dgm:spPr/>
    </dgm:pt>
    <dgm:pt modelId="{EF7C2EBA-C2D3-E444-82B0-D6EDC1B6CE0F}" type="pres">
      <dgm:prSet presAssocID="{F6A28012-DDDB-C549-8728-6C3828056FFE}" presName="background2" presStyleLbl="node2" presStyleIdx="1" presStyleCnt="2"/>
      <dgm:spPr/>
    </dgm:pt>
    <dgm:pt modelId="{4D5E937A-A017-3246-B9F5-75205C5E9FD7}" type="pres">
      <dgm:prSet presAssocID="{F6A28012-DDDB-C549-8728-6C3828056FFE}" presName="text2" presStyleLbl="fgAcc2" presStyleIdx="1" presStyleCnt="2" custScaleX="128735" custScaleY="106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3BE933-E0ED-EC45-9290-7912EC51FF8B}" type="pres">
      <dgm:prSet presAssocID="{F6A28012-DDDB-C549-8728-6C3828056FFE}" presName="hierChild3" presStyleCnt="0"/>
      <dgm:spPr/>
    </dgm:pt>
  </dgm:ptLst>
  <dgm:cxnLst>
    <dgm:cxn modelId="{1C053924-BF3C-49F4-96D0-E43646174EB7}" type="presOf" srcId="{1FACCA50-A3F0-9A4A-B298-BB4C8FC2E8FF}" destId="{0704C7F2-92EA-F745-A5C9-467345E24698}" srcOrd="0" destOrd="0" presId="urn:microsoft.com/office/officeart/2005/8/layout/hierarchy1"/>
    <dgm:cxn modelId="{2DF961E2-8C88-3145-AF9B-95177B12AB1A}" srcId="{151FDB2E-F975-8A42-8F2D-53BCA9A29E00}" destId="{53F4B600-C9C2-AD4D-819D-A7E08246D399}" srcOrd="1" destOrd="0" parTransId="{D654BFBB-F58E-6344-9368-04FB5DA1DDFA}" sibTransId="{BFB1AB15-7F29-7F49-B270-513A5A7C20FB}"/>
    <dgm:cxn modelId="{E4AB4E18-5665-44B2-9333-10414940C901}" type="presOf" srcId="{1B449A2B-9441-C346-9B9C-0B7AB27C2791}" destId="{351B77D3-0332-034F-88BF-BF600B83C8B9}" srcOrd="0" destOrd="0" presId="urn:microsoft.com/office/officeart/2005/8/layout/hierarchy1"/>
    <dgm:cxn modelId="{91A886E2-B4E0-324D-9D1D-D09E252F33F6}" srcId="{53F4B600-C9C2-AD4D-819D-A7E08246D399}" destId="{8320672F-D430-BB41-A4AC-D5072FFF8E70}" srcOrd="2" destOrd="0" parTransId="{5E5D1B30-442C-6642-8C34-8D56B9C89610}" sibTransId="{AE7D47E2-F24A-E441-AB1A-10D9FFC6EC06}"/>
    <dgm:cxn modelId="{8BC1DB59-5DF8-48D1-AB41-728C4F83E092}" type="presOf" srcId="{5E5D1B30-442C-6642-8C34-8D56B9C89610}" destId="{9DB9A343-C3CC-E94E-8828-5431B54CE4CE}" srcOrd="0" destOrd="0" presId="urn:microsoft.com/office/officeart/2005/8/layout/hierarchy1"/>
    <dgm:cxn modelId="{F6B175DE-8E96-4DAD-9881-F1415FEAA332}" type="presOf" srcId="{873F0F87-1FF9-3442-85FF-025D271F9969}" destId="{7C230B1A-9DFA-334B-BF1A-3A0BD5B0721E}" srcOrd="0" destOrd="0" presId="urn:microsoft.com/office/officeart/2005/8/layout/hierarchy1"/>
    <dgm:cxn modelId="{C46E73D3-2BF6-354A-85BC-1410FA9C1EBA}" srcId="{873F0F87-1FF9-3442-85FF-025D271F9969}" destId="{60329559-4696-6C4C-89BE-4573B44E2F89}" srcOrd="0" destOrd="0" parTransId="{B970DB8A-6034-894B-9FB5-73F870BDB715}" sibTransId="{23AD7314-9192-8343-BE81-5F67AE084BFB}"/>
    <dgm:cxn modelId="{A1EF8E2B-984A-4929-988B-00157773D742}" type="presOf" srcId="{D654BFBB-F58E-6344-9368-04FB5DA1DDFA}" destId="{C641DC5B-9C9F-D240-8360-935D8ECF333E}" srcOrd="0" destOrd="0" presId="urn:microsoft.com/office/officeart/2005/8/layout/hierarchy1"/>
    <dgm:cxn modelId="{1558FA3E-481D-4C32-92C0-B7515E4FE944}" type="presOf" srcId="{A57E7A0B-CA24-4D42-8B4F-7F8795414A88}" destId="{46CE1D63-BE3A-A843-9252-99D11AC5D650}" srcOrd="0" destOrd="0" presId="urn:microsoft.com/office/officeart/2005/8/layout/hierarchy1"/>
    <dgm:cxn modelId="{C2549DAA-E253-AA40-81BF-DD92A2CFB509}" srcId="{60329559-4696-6C4C-89BE-4573B44E2F89}" destId="{151FDB2E-F975-8A42-8F2D-53BCA9A29E00}" srcOrd="0" destOrd="0" parTransId="{0E4903F7-DAC8-DB43-B40B-A160F8A10098}" sibTransId="{B2038681-D4F6-7E4C-ABC4-FAACB739B0EE}"/>
    <dgm:cxn modelId="{524AD8E1-488C-44DC-9492-D3DFED687D6B}" type="presOf" srcId="{151FDB2E-F975-8A42-8F2D-53BCA9A29E00}" destId="{C526018D-CC2E-3D40-9315-4FAA23B3E90B}" srcOrd="0" destOrd="0" presId="urn:microsoft.com/office/officeart/2005/8/layout/hierarchy1"/>
    <dgm:cxn modelId="{3E166090-3EE2-A149-B3B8-DDEB45B2E1E6}" srcId="{60329559-4696-6C4C-89BE-4573B44E2F89}" destId="{F6A28012-DDDB-C549-8728-6C3828056FFE}" srcOrd="1" destOrd="0" parTransId="{B2556585-A0FC-6147-8742-5AC2BCC4B093}" sibTransId="{04815B8A-5ADD-7346-86FD-571FD67F6F73}"/>
    <dgm:cxn modelId="{CDE0558F-9EE7-46BB-A253-07E6F362E336}" type="presOf" srcId="{0E4903F7-DAC8-DB43-B40B-A160F8A10098}" destId="{91C23ED0-AF1A-7A48-9803-8A00D6C7496B}" srcOrd="0" destOrd="0" presId="urn:microsoft.com/office/officeart/2005/8/layout/hierarchy1"/>
    <dgm:cxn modelId="{BC5D0C9C-B761-0040-9FA0-ACD81684FE8A}" srcId="{151FDB2E-F975-8A42-8F2D-53BCA9A29E00}" destId="{1FACCA50-A3F0-9A4A-B298-BB4C8FC2E8FF}" srcOrd="0" destOrd="0" parTransId="{8EDF78F9-9295-2449-9E32-1776816726C6}" sibTransId="{F6E4464B-541A-C441-A073-F88F9B08ED1E}"/>
    <dgm:cxn modelId="{51937E43-B787-4851-B309-DC129B90BF59}" type="presOf" srcId="{60329559-4696-6C4C-89BE-4573B44E2F89}" destId="{792CF598-0484-C84C-B919-F0D2FE006E55}" srcOrd="0" destOrd="0" presId="urn:microsoft.com/office/officeart/2005/8/layout/hierarchy1"/>
    <dgm:cxn modelId="{D5A0C815-6079-412F-BCEB-462CBA1964B9}" type="presOf" srcId="{8EDF78F9-9295-2449-9E32-1776816726C6}" destId="{B87C016B-F619-514F-B097-266FC37B9920}" srcOrd="0" destOrd="0" presId="urn:microsoft.com/office/officeart/2005/8/layout/hierarchy1"/>
    <dgm:cxn modelId="{67CE38FF-EC72-174D-8CE0-6EDEE807EF9E}" srcId="{53F4B600-C9C2-AD4D-819D-A7E08246D399}" destId="{A57E7A0B-CA24-4D42-8B4F-7F8795414A88}" srcOrd="1" destOrd="0" parTransId="{FF2DE8C9-17F9-AA4E-BC7E-F2FCBB86BC5F}" sibTransId="{0DF9ABF4-F40B-6644-A743-81C48F9D6D1A}"/>
    <dgm:cxn modelId="{EDDFD177-B11E-4D47-A497-B2084417194F}" type="presOf" srcId="{53F4B600-C9C2-AD4D-819D-A7E08246D399}" destId="{E71A9388-ECE4-5A47-8A04-F377FBFA28A6}" srcOrd="0" destOrd="0" presId="urn:microsoft.com/office/officeart/2005/8/layout/hierarchy1"/>
    <dgm:cxn modelId="{0E0CC9A6-4C45-4D69-A69B-505E338E119D}" type="presOf" srcId="{B2556585-A0FC-6147-8742-5AC2BCC4B093}" destId="{B7F3C80C-94AC-B849-9FBD-E2E3A25F950C}" srcOrd="0" destOrd="0" presId="urn:microsoft.com/office/officeart/2005/8/layout/hierarchy1"/>
    <dgm:cxn modelId="{A76D458A-492D-41D1-86D9-A580BE3F9779}" type="presOf" srcId="{8320672F-D430-BB41-A4AC-D5072FFF8E70}" destId="{CE7599D5-FD14-7E47-858B-D930E1A74EF5}" srcOrd="0" destOrd="0" presId="urn:microsoft.com/office/officeart/2005/8/layout/hierarchy1"/>
    <dgm:cxn modelId="{B19FA14B-AF52-425B-8F4F-70B2463D28F7}" type="presOf" srcId="{A4C9352A-AD95-1148-98CF-B1ADEE5CEF64}" destId="{D844FB85-9979-BD4E-AFB9-52CBDFBC9CC5}" srcOrd="0" destOrd="0" presId="urn:microsoft.com/office/officeart/2005/8/layout/hierarchy1"/>
    <dgm:cxn modelId="{5AB3CB03-2F90-4D3E-83C4-6D40B707EB2B}" type="presOf" srcId="{F6A28012-DDDB-C549-8728-6C3828056FFE}" destId="{4D5E937A-A017-3246-B9F5-75205C5E9FD7}" srcOrd="0" destOrd="0" presId="urn:microsoft.com/office/officeart/2005/8/layout/hierarchy1"/>
    <dgm:cxn modelId="{FA00E01D-8FF4-0B45-8314-65C8703F7163}" srcId="{53F4B600-C9C2-AD4D-819D-A7E08246D399}" destId="{1B449A2B-9441-C346-9B9C-0B7AB27C2791}" srcOrd="0" destOrd="0" parTransId="{A4C9352A-AD95-1148-98CF-B1ADEE5CEF64}" sibTransId="{6CB81C55-5451-7E4D-AB82-67EDE6BFC24B}"/>
    <dgm:cxn modelId="{8213CD44-D75F-486E-AA58-44B39524C1D1}" type="presOf" srcId="{FF2DE8C9-17F9-AA4E-BC7E-F2FCBB86BC5F}" destId="{93C6D470-12EB-C74B-91D1-F0C45E12F666}" srcOrd="0" destOrd="0" presId="urn:microsoft.com/office/officeart/2005/8/layout/hierarchy1"/>
    <dgm:cxn modelId="{FB91946B-15DD-43A4-AD09-17CAAA9F88D3}" type="presParOf" srcId="{7C230B1A-9DFA-334B-BF1A-3A0BD5B0721E}" destId="{FC5DC87A-CDA8-3D4A-A7C4-F0045948D057}" srcOrd="0" destOrd="0" presId="urn:microsoft.com/office/officeart/2005/8/layout/hierarchy1"/>
    <dgm:cxn modelId="{E0357F18-32F9-4B20-BA95-E6E8D42FA9AE}" type="presParOf" srcId="{FC5DC87A-CDA8-3D4A-A7C4-F0045948D057}" destId="{FBA2AD5B-FC88-A142-AFC7-8BA64689359E}" srcOrd="0" destOrd="0" presId="urn:microsoft.com/office/officeart/2005/8/layout/hierarchy1"/>
    <dgm:cxn modelId="{142E6712-414F-4F3D-9980-FAD37CB56D27}" type="presParOf" srcId="{FBA2AD5B-FC88-A142-AFC7-8BA64689359E}" destId="{EE311F75-2D3B-DE44-947E-676ACC6EFA80}" srcOrd="0" destOrd="0" presId="urn:microsoft.com/office/officeart/2005/8/layout/hierarchy1"/>
    <dgm:cxn modelId="{15EEDC20-47C3-43B9-8206-14FC6CBA6B23}" type="presParOf" srcId="{FBA2AD5B-FC88-A142-AFC7-8BA64689359E}" destId="{792CF598-0484-C84C-B919-F0D2FE006E55}" srcOrd="1" destOrd="0" presId="urn:microsoft.com/office/officeart/2005/8/layout/hierarchy1"/>
    <dgm:cxn modelId="{3ACB4E5E-5BB4-4BAB-870A-518CB023A0FE}" type="presParOf" srcId="{FC5DC87A-CDA8-3D4A-A7C4-F0045948D057}" destId="{B0A40B32-9E0A-2644-A2BD-8E2BA2562ADF}" srcOrd="1" destOrd="0" presId="urn:microsoft.com/office/officeart/2005/8/layout/hierarchy1"/>
    <dgm:cxn modelId="{E986030E-E6E8-4AD7-A742-F8BEBC6740D7}" type="presParOf" srcId="{B0A40B32-9E0A-2644-A2BD-8E2BA2562ADF}" destId="{91C23ED0-AF1A-7A48-9803-8A00D6C7496B}" srcOrd="0" destOrd="0" presId="urn:microsoft.com/office/officeart/2005/8/layout/hierarchy1"/>
    <dgm:cxn modelId="{D4ED6F90-767E-4289-BE31-636F4A42C3A1}" type="presParOf" srcId="{B0A40B32-9E0A-2644-A2BD-8E2BA2562ADF}" destId="{C298C5DD-4C5C-6048-A687-CCB3CEEAA5F6}" srcOrd="1" destOrd="0" presId="urn:microsoft.com/office/officeart/2005/8/layout/hierarchy1"/>
    <dgm:cxn modelId="{B00986D5-FF9E-4232-8384-A842FAFECD18}" type="presParOf" srcId="{C298C5DD-4C5C-6048-A687-CCB3CEEAA5F6}" destId="{DCD1CAC4-2879-9442-821F-81BA207056C0}" srcOrd="0" destOrd="0" presId="urn:microsoft.com/office/officeart/2005/8/layout/hierarchy1"/>
    <dgm:cxn modelId="{00422540-D707-4DC3-AF51-302586CDE7F6}" type="presParOf" srcId="{DCD1CAC4-2879-9442-821F-81BA207056C0}" destId="{20228F72-40E3-DF48-8286-631C0C7EE24A}" srcOrd="0" destOrd="0" presId="urn:microsoft.com/office/officeart/2005/8/layout/hierarchy1"/>
    <dgm:cxn modelId="{05B38588-E3AE-4509-B187-E1B037A2692F}" type="presParOf" srcId="{DCD1CAC4-2879-9442-821F-81BA207056C0}" destId="{C526018D-CC2E-3D40-9315-4FAA23B3E90B}" srcOrd="1" destOrd="0" presId="urn:microsoft.com/office/officeart/2005/8/layout/hierarchy1"/>
    <dgm:cxn modelId="{CC82E92A-9994-4BBE-82C4-658A26EDAC2A}" type="presParOf" srcId="{C298C5DD-4C5C-6048-A687-CCB3CEEAA5F6}" destId="{9F326A1A-63DA-D04E-9EDA-C25473F06F23}" srcOrd="1" destOrd="0" presId="urn:microsoft.com/office/officeart/2005/8/layout/hierarchy1"/>
    <dgm:cxn modelId="{FDB54457-F41A-4003-A790-8483E6BD7367}" type="presParOf" srcId="{9F326A1A-63DA-D04E-9EDA-C25473F06F23}" destId="{B87C016B-F619-514F-B097-266FC37B9920}" srcOrd="0" destOrd="0" presId="urn:microsoft.com/office/officeart/2005/8/layout/hierarchy1"/>
    <dgm:cxn modelId="{3AEA25A0-0D98-4CD3-BC52-67CCF0EA53E7}" type="presParOf" srcId="{9F326A1A-63DA-D04E-9EDA-C25473F06F23}" destId="{6E046122-DECB-2D43-89BA-E9F22F4576B1}" srcOrd="1" destOrd="0" presId="urn:microsoft.com/office/officeart/2005/8/layout/hierarchy1"/>
    <dgm:cxn modelId="{03EF4C28-9DF2-4BD7-B402-31868ED9CFA0}" type="presParOf" srcId="{6E046122-DECB-2D43-89BA-E9F22F4576B1}" destId="{AC68694D-8231-5243-BB91-80C9D9D5D2ED}" srcOrd="0" destOrd="0" presId="urn:microsoft.com/office/officeart/2005/8/layout/hierarchy1"/>
    <dgm:cxn modelId="{46B7B06B-56E2-4105-AF58-279B8CDAF266}" type="presParOf" srcId="{AC68694D-8231-5243-BB91-80C9D9D5D2ED}" destId="{ED460C55-87FA-6F41-B9EF-1B1A2A2DFA8A}" srcOrd="0" destOrd="0" presId="urn:microsoft.com/office/officeart/2005/8/layout/hierarchy1"/>
    <dgm:cxn modelId="{A71B433E-EC40-4AD0-BD19-AFF78C439EB1}" type="presParOf" srcId="{AC68694D-8231-5243-BB91-80C9D9D5D2ED}" destId="{0704C7F2-92EA-F745-A5C9-467345E24698}" srcOrd="1" destOrd="0" presId="urn:microsoft.com/office/officeart/2005/8/layout/hierarchy1"/>
    <dgm:cxn modelId="{FAD29D67-ADDA-4E2C-979B-D02FA023CD3C}" type="presParOf" srcId="{6E046122-DECB-2D43-89BA-E9F22F4576B1}" destId="{3FD7E807-F9B5-4B41-9B1E-A0953356CB72}" srcOrd="1" destOrd="0" presId="urn:microsoft.com/office/officeart/2005/8/layout/hierarchy1"/>
    <dgm:cxn modelId="{C284A418-AF7E-4FDB-984B-BEDE4BCCE921}" type="presParOf" srcId="{9F326A1A-63DA-D04E-9EDA-C25473F06F23}" destId="{C641DC5B-9C9F-D240-8360-935D8ECF333E}" srcOrd="2" destOrd="0" presId="urn:microsoft.com/office/officeart/2005/8/layout/hierarchy1"/>
    <dgm:cxn modelId="{F943A632-B5FC-4227-A194-122D422B2B90}" type="presParOf" srcId="{9F326A1A-63DA-D04E-9EDA-C25473F06F23}" destId="{698BDD9A-213B-7248-B5CA-4DB944F70240}" srcOrd="3" destOrd="0" presId="urn:microsoft.com/office/officeart/2005/8/layout/hierarchy1"/>
    <dgm:cxn modelId="{DA3C67C6-39E6-4674-B58F-7A09335B1D9C}" type="presParOf" srcId="{698BDD9A-213B-7248-B5CA-4DB944F70240}" destId="{AB02F0E8-C094-7D43-9A43-A916234EFFF1}" srcOrd="0" destOrd="0" presId="urn:microsoft.com/office/officeart/2005/8/layout/hierarchy1"/>
    <dgm:cxn modelId="{B978DBAE-F9DC-4460-8F5B-FD7E40C6790B}" type="presParOf" srcId="{AB02F0E8-C094-7D43-9A43-A916234EFFF1}" destId="{6B96C338-A1CD-3A42-AD3C-1C5F6D069D12}" srcOrd="0" destOrd="0" presId="urn:microsoft.com/office/officeart/2005/8/layout/hierarchy1"/>
    <dgm:cxn modelId="{73585F6C-DBE5-41BE-937E-22B0435EE0A0}" type="presParOf" srcId="{AB02F0E8-C094-7D43-9A43-A916234EFFF1}" destId="{E71A9388-ECE4-5A47-8A04-F377FBFA28A6}" srcOrd="1" destOrd="0" presId="urn:microsoft.com/office/officeart/2005/8/layout/hierarchy1"/>
    <dgm:cxn modelId="{8FA9F7BA-06B8-4BCD-A915-B276C3731169}" type="presParOf" srcId="{698BDD9A-213B-7248-B5CA-4DB944F70240}" destId="{DCB66FF2-531B-5A4C-8FB3-9F04220AB6FF}" srcOrd="1" destOrd="0" presId="urn:microsoft.com/office/officeart/2005/8/layout/hierarchy1"/>
    <dgm:cxn modelId="{732D5E26-E89A-4532-8D89-E5ECA09D6F14}" type="presParOf" srcId="{DCB66FF2-531B-5A4C-8FB3-9F04220AB6FF}" destId="{D844FB85-9979-BD4E-AFB9-52CBDFBC9CC5}" srcOrd="0" destOrd="0" presId="urn:microsoft.com/office/officeart/2005/8/layout/hierarchy1"/>
    <dgm:cxn modelId="{032F6D51-122B-45A3-A416-06588B2DAE7E}" type="presParOf" srcId="{DCB66FF2-531B-5A4C-8FB3-9F04220AB6FF}" destId="{FE92EB0E-6D74-8A4C-943C-9B00EA98D1FB}" srcOrd="1" destOrd="0" presId="urn:microsoft.com/office/officeart/2005/8/layout/hierarchy1"/>
    <dgm:cxn modelId="{2E1A14C5-0DC8-4C2A-BBA4-84B469499F0F}" type="presParOf" srcId="{FE92EB0E-6D74-8A4C-943C-9B00EA98D1FB}" destId="{63AC2FCE-C826-BB40-B375-AA2671093BB9}" srcOrd="0" destOrd="0" presId="urn:microsoft.com/office/officeart/2005/8/layout/hierarchy1"/>
    <dgm:cxn modelId="{1A739120-12CF-427D-BF29-C92253B212ED}" type="presParOf" srcId="{63AC2FCE-C826-BB40-B375-AA2671093BB9}" destId="{758AB2F5-F281-1049-AC07-A9700305AB2C}" srcOrd="0" destOrd="0" presId="urn:microsoft.com/office/officeart/2005/8/layout/hierarchy1"/>
    <dgm:cxn modelId="{09EBE30D-7B86-408C-B33A-D0FD200515E5}" type="presParOf" srcId="{63AC2FCE-C826-BB40-B375-AA2671093BB9}" destId="{351B77D3-0332-034F-88BF-BF600B83C8B9}" srcOrd="1" destOrd="0" presId="urn:microsoft.com/office/officeart/2005/8/layout/hierarchy1"/>
    <dgm:cxn modelId="{21D8B6FF-1DC8-4B08-B94F-375F0F0504E0}" type="presParOf" srcId="{FE92EB0E-6D74-8A4C-943C-9B00EA98D1FB}" destId="{2E1AD779-DB30-CA4D-8EAB-1D0D2BE9F1A5}" srcOrd="1" destOrd="0" presId="urn:microsoft.com/office/officeart/2005/8/layout/hierarchy1"/>
    <dgm:cxn modelId="{1B1EC131-E793-4D7B-BE79-9A4CDB4FEB3F}" type="presParOf" srcId="{DCB66FF2-531B-5A4C-8FB3-9F04220AB6FF}" destId="{93C6D470-12EB-C74B-91D1-F0C45E12F666}" srcOrd="2" destOrd="0" presId="urn:microsoft.com/office/officeart/2005/8/layout/hierarchy1"/>
    <dgm:cxn modelId="{B16DEB99-53E8-4D2A-87C9-0B58C5C953B9}" type="presParOf" srcId="{DCB66FF2-531B-5A4C-8FB3-9F04220AB6FF}" destId="{F5F0424D-ED67-9B45-94F0-2003657291CE}" srcOrd="3" destOrd="0" presId="urn:microsoft.com/office/officeart/2005/8/layout/hierarchy1"/>
    <dgm:cxn modelId="{4FED459D-F0B1-44B9-AEDA-1B4A1EC8F52D}" type="presParOf" srcId="{F5F0424D-ED67-9B45-94F0-2003657291CE}" destId="{CD78EEB2-BBA8-CC4A-9686-CDD438B3B66B}" srcOrd="0" destOrd="0" presId="urn:microsoft.com/office/officeart/2005/8/layout/hierarchy1"/>
    <dgm:cxn modelId="{60F51527-3A3D-4A60-BBF7-6F711240151B}" type="presParOf" srcId="{CD78EEB2-BBA8-CC4A-9686-CDD438B3B66B}" destId="{CB777B09-B415-DB49-994F-AA326961181D}" srcOrd="0" destOrd="0" presId="urn:microsoft.com/office/officeart/2005/8/layout/hierarchy1"/>
    <dgm:cxn modelId="{231C2EBE-3BAE-45CE-854E-C41D0710B343}" type="presParOf" srcId="{CD78EEB2-BBA8-CC4A-9686-CDD438B3B66B}" destId="{46CE1D63-BE3A-A843-9252-99D11AC5D650}" srcOrd="1" destOrd="0" presId="urn:microsoft.com/office/officeart/2005/8/layout/hierarchy1"/>
    <dgm:cxn modelId="{3CEFAECE-E9C4-49B4-AEAA-A405F52188A1}" type="presParOf" srcId="{F5F0424D-ED67-9B45-94F0-2003657291CE}" destId="{5671BC8D-95C0-F048-BAAB-58CD6F38B66D}" srcOrd="1" destOrd="0" presId="urn:microsoft.com/office/officeart/2005/8/layout/hierarchy1"/>
    <dgm:cxn modelId="{E262B31F-EE39-462C-9255-88FD45EFA21A}" type="presParOf" srcId="{DCB66FF2-531B-5A4C-8FB3-9F04220AB6FF}" destId="{9DB9A343-C3CC-E94E-8828-5431B54CE4CE}" srcOrd="4" destOrd="0" presId="urn:microsoft.com/office/officeart/2005/8/layout/hierarchy1"/>
    <dgm:cxn modelId="{6B348954-C96E-4F59-A2C0-7C2E30F36069}" type="presParOf" srcId="{DCB66FF2-531B-5A4C-8FB3-9F04220AB6FF}" destId="{82CF0CB3-AC2E-6C40-BE53-AAEBC1518F0B}" srcOrd="5" destOrd="0" presId="urn:microsoft.com/office/officeart/2005/8/layout/hierarchy1"/>
    <dgm:cxn modelId="{FB54362E-A1AC-4718-9169-81DA248B4173}" type="presParOf" srcId="{82CF0CB3-AC2E-6C40-BE53-AAEBC1518F0B}" destId="{93EB24C0-04B1-7B43-9EE2-0A47A8A1FEFF}" srcOrd="0" destOrd="0" presId="urn:microsoft.com/office/officeart/2005/8/layout/hierarchy1"/>
    <dgm:cxn modelId="{888C364D-59A7-48DF-852F-A77BC4CD1668}" type="presParOf" srcId="{93EB24C0-04B1-7B43-9EE2-0A47A8A1FEFF}" destId="{BF3B9623-9639-8B46-BD34-22D17BF8CA8D}" srcOrd="0" destOrd="0" presId="urn:microsoft.com/office/officeart/2005/8/layout/hierarchy1"/>
    <dgm:cxn modelId="{369B88DF-7F44-4548-841E-0AD367DFECA1}" type="presParOf" srcId="{93EB24C0-04B1-7B43-9EE2-0A47A8A1FEFF}" destId="{CE7599D5-FD14-7E47-858B-D930E1A74EF5}" srcOrd="1" destOrd="0" presId="urn:microsoft.com/office/officeart/2005/8/layout/hierarchy1"/>
    <dgm:cxn modelId="{11DE872F-EBBC-4A32-A863-057DC46C5CDB}" type="presParOf" srcId="{82CF0CB3-AC2E-6C40-BE53-AAEBC1518F0B}" destId="{18850605-1996-AC43-A5B2-9B4FD9747664}" srcOrd="1" destOrd="0" presId="urn:microsoft.com/office/officeart/2005/8/layout/hierarchy1"/>
    <dgm:cxn modelId="{C1D3740B-3FF2-402F-BDC0-819520C29B17}" type="presParOf" srcId="{B0A40B32-9E0A-2644-A2BD-8E2BA2562ADF}" destId="{B7F3C80C-94AC-B849-9FBD-E2E3A25F950C}" srcOrd="2" destOrd="0" presId="urn:microsoft.com/office/officeart/2005/8/layout/hierarchy1"/>
    <dgm:cxn modelId="{7FC0474B-FA24-4E8A-A933-3468610DAE56}" type="presParOf" srcId="{B0A40B32-9E0A-2644-A2BD-8E2BA2562ADF}" destId="{9CB4D28B-3BC0-DD42-BB16-C1632982E0F3}" srcOrd="3" destOrd="0" presId="urn:microsoft.com/office/officeart/2005/8/layout/hierarchy1"/>
    <dgm:cxn modelId="{035C0264-0DA1-492C-95DE-AE7A5EDB90BC}" type="presParOf" srcId="{9CB4D28B-3BC0-DD42-BB16-C1632982E0F3}" destId="{A6527E05-7E6E-5D49-AE09-73D791133D8E}" srcOrd="0" destOrd="0" presId="urn:microsoft.com/office/officeart/2005/8/layout/hierarchy1"/>
    <dgm:cxn modelId="{AFD5346F-675D-4FD2-82B7-E910A04AF149}" type="presParOf" srcId="{A6527E05-7E6E-5D49-AE09-73D791133D8E}" destId="{EF7C2EBA-C2D3-E444-82B0-D6EDC1B6CE0F}" srcOrd="0" destOrd="0" presId="urn:microsoft.com/office/officeart/2005/8/layout/hierarchy1"/>
    <dgm:cxn modelId="{9D82F997-BACD-440B-88D5-910A3854C40D}" type="presParOf" srcId="{A6527E05-7E6E-5D49-AE09-73D791133D8E}" destId="{4D5E937A-A017-3246-B9F5-75205C5E9FD7}" srcOrd="1" destOrd="0" presId="urn:microsoft.com/office/officeart/2005/8/layout/hierarchy1"/>
    <dgm:cxn modelId="{167CE268-DD51-45E7-AFF3-E73517854327}" type="presParOf" srcId="{9CB4D28B-3BC0-DD42-BB16-C1632982E0F3}" destId="{E43BE933-E0ED-EC45-9290-7912EC51FF8B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F3C80C-94AC-B849-9FBD-E2E3A25F950C}">
      <dsp:nvSpPr>
        <dsp:cNvPr id="0" name=""/>
        <dsp:cNvSpPr/>
      </dsp:nvSpPr>
      <dsp:spPr>
        <a:xfrm>
          <a:off x="3059736" y="967806"/>
          <a:ext cx="809051" cy="298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27"/>
              </a:lnTo>
              <a:lnTo>
                <a:pt x="809051" y="203327"/>
              </a:lnTo>
              <a:lnTo>
                <a:pt x="809051" y="29836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9A343-C3CC-E94E-8828-5431B54CE4CE}">
      <dsp:nvSpPr>
        <dsp:cNvPr id="0" name=""/>
        <dsp:cNvSpPr/>
      </dsp:nvSpPr>
      <dsp:spPr>
        <a:xfrm>
          <a:off x="3014324" y="2890206"/>
          <a:ext cx="1253878" cy="298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27"/>
              </a:lnTo>
              <a:lnTo>
                <a:pt x="1253878" y="203327"/>
              </a:lnTo>
              <a:lnTo>
                <a:pt x="1253878" y="2983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6D470-12EB-C74B-91D1-F0C45E12F666}">
      <dsp:nvSpPr>
        <dsp:cNvPr id="0" name=""/>
        <dsp:cNvSpPr/>
      </dsp:nvSpPr>
      <dsp:spPr>
        <a:xfrm>
          <a:off x="2968604" y="2890206"/>
          <a:ext cx="91440" cy="298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3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4FB85-9979-BD4E-AFB9-52CBDFBC9CC5}">
      <dsp:nvSpPr>
        <dsp:cNvPr id="0" name=""/>
        <dsp:cNvSpPr/>
      </dsp:nvSpPr>
      <dsp:spPr>
        <a:xfrm>
          <a:off x="1760446" y="2890206"/>
          <a:ext cx="1253878" cy="298366"/>
        </a:xfrm>
        <a:custGeom>
          <a:avLst/>
          <a:gdLst/>
          <a:ahLst/>
          <a:cxnLst/>
          <a:rect l="0" t="0" r="0" b="0"/>
          <a:pathLst>
            <a:path>
              <a:moveTo>
                <a:pt x="1253878" y="0"/>
              </a:moveTo>
              <a:lnTo>
                <a:pt x="1253878" y="203327"/>
              </a:lnTo>
              <a:lnTo>
                <a:pt x="0" y="203327"/>
              </a:lnTo>
              <a:lnTo>
                <a:pt x="0" y="2983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1DC5B-9C9F-D240-8360-935D8ECF333E}">
      <dsp:nvSpPr>
        <dsp:cNvPr id="0" name=""/>
        <dsp:cNvSpPr/>
      </dsp:nvSpPr>
      <dsp:spPr>
        <a:xfrm>
          <a:off x="2285400" y="1940393"/>
          <a:ext cx="728923" cy="298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27"/>
              </a:lnTo>
              <a:lnTo>
                <a:pt x="728923" y="203327"/>
              </a:lnTo>
              <a:lnTo>
                <a:pt x="728923" y="2983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C016B-F619-514F-B097-266FC37B9920}">
      <dsp:nvSpPr>
        <dsp:cNvPr id="0" name=""/>
        <dsp:cNvSpPr/>
      </dsp:nvSpPr>
      <dsp:spPr>
        <a:xfrm>
          <a:off x="1541472" y="1940393"/>
          <a:ext cx="743927" cy="298366"/>
        </a:xfrm>
        <a:custGeom>
          <a:avLst/>
          <a:gdLst/>
          <a:ahLst/>
          <a:cxnLst/>
          <a:rect l="0" t="0" r="0" b="0"/>
          <a:pathLst>
            <a:path>
              <a:moveTo>
                <a:pt x="743927" y="0"/>
              </a:moveTo>
              <a:lnTo>
                <a:pt x="743927" y="203327"/>
              </a:lnTo>
              <a:lnTo>
                <a:pt x="0" y="203327"/>
              </a:lnTo>
              <a:lnTo>
                <a:pt x="0" y="2983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23ED0-AF1A-7A48-9803-8A00D6C7496B}">
      <dsp:nvSpPr>
        <dsp:cNvPr id="0" name=""/>
        <dsp:cNvSpPr/>
      </dsp:nvSpPr>
      <dsp:spPr>
        <a:xfrm>
          <a:off x="2285400" y="967806"/>
          <a:ext cx="774335" cy="298366"/>
        </a:xfrm>
        <a:custGeom>
          <a:avLst/>
          <a:gdLst/>
          <a:ahLst/>
          <a:cxnLst/>
          <a:rect l="0" t="0" r="0" b="0"/>
          <a:pathLst>
            <a:path>
              <a:moveTo>
                <a:pt x="774335" y="0"/>
              </a:moveTo>
              <a:lnTo>
                <a:pt x="774335" y="203327"/>
              </a:lnTo>
              <a:lnTo>
                <a:pt x="0" y="203327"/>
              </a:lnTo>
              <a:lnTo>
                <a:pt x="0" y="29836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11F75-2D3B-DE44-947E-676ACC6EFA80}">
      <dsp:nvSpPr>
        <dsp:cNvPr id="0" name=""/>
        <dsp:cNvSpPr/>
      </dsp:nvSpPr>
      <dsp:spPr>
        <a:xfrm>
          <a:off x="2098195" y="1391"/>
          <a:ext cx="1923081" cy="9664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92CF598-0484-C84C-B919-F0D2FE006E55}">
      <dsp:nvSpPr>
        <dsp:cNvPr id="0" name=""/>
        <dsp:cNvSpPr/>
      </dsp:nvSpPr>
      <dsp:spPr>
        <a:xfrm>
          <a:off x="2212184" y="109680"/>
          <a:ext cx="1923081" cy="96641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000000"/>
              </a:solidFill>
            </a:rPr>
            <a:t>TRAUMA PATIENTS WITH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000000"/>
              </a:solidFill>
            </a:rPr>
            <a:t>OPEN FRACTURES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rgbClr val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(Aug 1, 2011-July 31, 2012)</a:t>
          </a:r>
        </a:p>
      </dsp:txBody>
      <dsp:txXfrm>
        <a:off x="2212184" y="109680"/>
        <a:ext cx="1923081" cy="966414"/>
      </dsp:txXfrm>
    </dsp:sp>
    <dsp:sp modelId="{20228F72-40E3-DF48-8286-631C0C7EE24A}">
      <dsp:nvSpPr>
        <dsp:cNvPr id="0" name=""/>
        <dsp:cNvSpPr/>
      </dsp:nvSpPr>
      <dsp:spPr>
        <a:xfrm>
          <a:off x="1590337" y="1266172"/>
          <a:ext cx="1390126" cy="67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26018D-CC2E-3D40-9315-4FAA23B3E90B}">
      <dsp:nvSpPr>
        <dsp:cNvPr id="0" name=""/>
        <dsp:cNvSpPr/>
      </dsp:nvSpPr>
      <dsp:spPr>
        <a:xfrm>
          <a:off x="1704326" y="1374461"/>
          <a:ext cx="1390126" cy="67422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000000"/>
              </a:solidFill>
            </a:rPr>
            <a:t>INCLUDED: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Patients ≥ 18 yrs in Trauma Unit ≥  48h</a:t>
          </a:r>
        </a:p>
      </dsp:txBody>
      <dsp:txXfrm>
        <a:off x="1704326" y="1374461"/>
        <a:ext cx="1390126" cy="674221"/>
      </dsp:txXfrm>
    </dsp:sp>
    <dsp:sp modelId="{ED460C55-87FA-6F41-B9EF-1B1A2A2DFA8A}">
      <dsp:nvSpPr>
        <dsp:cNvPr id="0" name=""/>
        <dsp:cNvSpPr/>
      </dsp:nvSpPr>
      <dsp:spPr>
        <a:xfrm>
          <a:off x="926537" y="2238759"/>
          <a:ext cx="1229870" cy="651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04C7F2-92EA-F745-A5C9-467345E24698}">
      <dsp:nvSpPr>
        <dsp:cNvPr id="0" name=""/>
        <dsp:cNvSpPr/>
      </dsp:nvSpPr>
      <dsp:spPr>
        <a:xfrm>
          <a:off x="1040526" y="2347049"/>
          <a:ext cx="1229870" cy="65144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 </a:t>
          </a:r>
          <a:r>
            <a:rPr lang="en-US" sz="900" b="1" kern="1200">
              <a:solidFill>
                <a:srgbClr val="000000"/>
              </a:solidFill>
            </a:rPr>
            <a:t>AP + Group</a:t>
          </a:r>
          <a:r>
            <a:rPr lang="en-US" sz="900" kern="1200">
              <a:solidFill>
                <a:srgbClr val="000000"/>
              </a:solidFill>
            </a:rPr>
            <a:t>:  Open Fracture Antibiotic Protocol FOLLOWED</a:t>
          </a:r>
        </a:p>
      </dsp:txBody>
      <dsp:txXfrm>
        <a:off x="1040526" y="2347049"/>
        <a:ext cx="1229870" cy="651446"/>
      </dsp:txXfrm>
    </dsp:sp>
    <dsp:sp modelId="{6B96C338-A1CD-3A42-AD3C-1C5F6D069D12}">
      <dsp:nvSpPr>
        <dsp:cNvPr id="0" name=""/>
        <dsp:cNvSpPr/>
      </dsp:nvSpPr>
      <dsp:spPr>
        <a:xfrm>
          <a:off x="2384385" y="2238759"/>
          <a:ext cx="1259877" cy="651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1A9388-ECE4-5A47-8A04-F377FBFA28A6}">
      <dsp:nvSpPr>
        <dsp:cNvPr id="0" name=""/>
        <dsp:cNvSpPr/>
      </dsp:nvSpPr>
      <dsp:spPr>
        <a:xfrm>
          <a:off x="2498374" y="2347049"/>
          <a:ext cx="1259877" cy="65144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000000"/>
              </a:solidFill>
            </a:rPr>
            <a:t>AP- Group</a:t>
          </a:r>
          <a:r>
            <a:rPr lang="en-US" sz="900" kern="1200">
              <a:solidFill>
                <a:srgbClr val="000000"/>
              </a:solidFill>
            </a:rPr>
            <a:t>:  Open Fracture Antibiotic Protocol NOT FOLLOWED</a:t>
          </a:r>
        </a:p>
      </dsp:txBody>
      <dsp:txXfrm>
        <a:off x="2498374" y="2347049"/>
        <a:ext cx="1259877" cy="651446"/>
      </dsp:txXfrm>
    </dsp:sp>
    <dsp:sp modelId="{758AB2F5-F281-1049-AC07-A9700305AB2C}">
      <dsp:nvSpPr>
        <dsp:cNvPr id="0" name=""/>
        <dsp:cNvSpPr/>
      </dsp:nvSpPr>
      <dsp:spPr>
        <a:xfrm>
          <a:off x="1247495" y="3188572"/>
          <a:ext cx="1025900" cy="651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1B77D3-0332-034F-88BF-BF600B83C8B9}">
      <dsp:nvSpPr>
        <dsp:cNvPr id="0" name=""/>
        <dsp:cNvSpPr/>
      </dsp:nvSpPr>
      <dsp:spPr>
        <a:xfrm>
          <a:off x="1361484" y="3296862"/>
          <a:ext cx="1025900" cy="65144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Noncompliance w/ ANTIBIOTIC CHOICE</a:t>
          </a:r>
        </a:p>
      </dsp:txBody>
      <dsp:txXfrm>
        <a:off x="1361484" y="3296862"/>
        <a:ext cx="1025900" cy="651446"/>
      </dsp:txXfrm>
    </dsp:sp>
    <dsp:sp modelId="{CB777B09-B415-DB49-994F-AA326961181D}">
      <dsp:nvSpPr>
        <dsp:cNvPr id="0" name=""/>
        <dsp:cNvSpPr/>
      </dsp:nvSpPr>
      <dsp:spPr>
        <a:xfrm>
          <a:off x="2501374" y="3188572"/>
          <a:ext cx="1025900" cy="651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CE1D63-BE3A-A843-9252-99D11AC5D650}">
      <dsp:nvSpPr>
        <dsp:cNvPr id="0" name=""/>
        <dsp:cNvSpPr/>
      </dsp:nvSpPr>
      <dsp:spPr>
        <a:xfrm>
          <a:off x="2615363" y="3296862"/>
          <a:ext cx="1025900" cy="65144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Noncompliance w/  DURATION</a:t>
          </a:r>
        </a:p>
      </dsp:txBody>
      <dsp:txXfrm>
        <a:off x="2615363" y="3296862"/>
        <a:ext cx="1025900" cy="651446"/>
      </dsp:txXfrm>
    </dsp:sp>
    <dsp:sp modelId="{BF3B9623-9639-8B46-BD34-22D17BF8CA8D}">
      <dsp:nvSpPr>
        <dsp:cNvPr id="0" name=""/>
        <dsp:cNvSpPr/>
      </dsp:nvSpPr>
      <dsp:spPr>
        <a:xfrm>
          <a:off x="3755252" y="3188572"/>
          <a:ext cx="1025900" cy="6514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7599D5-FD14-7E47-858B-D930E1A74EF5}">
      <dsp:nvSpPr>
        <dsp:cNvPr id="0" name=""/>
        <dsp:cNvSpPr/>
      </dsp:nvSpPr>
      <dsp:spPr>
        <a:xfrm>
          <a:off x="3869241" y="3296862"/>
          <a:ext cx="1025900" cy="65144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Noncompliance w/ REGIMEN FOR FRACTURE GRADE</a:t>
          </a:r>
        </a:p>
      </dsp:txBody>
      <dsp:txXfrm>
        <a:off x="3869241" y="3296862"/>
        <a:ext cx="1025900" cy="651446"/>
      </dsp:txXfrm>
    </dsp:sp>
    <dsp:sp modelId="{EF7C2EBA-C2D3-E444-82B0-D6EDC1B6CE0F}">
      <dsp:nvSpPr>
        <dsp:cNvPr id="0" name=""/>
        <dsp:cNvSpPr/>
      </dsp:nvSpPr>
      <dsp:spPr>
        <a:xfrm>
          <a:off x="3208441" y="1266172"/>
          <a:ext cx="1320693" cy="696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5E937A-A017-3246-B9F5-75205C5E9FD7}">
      <dsp:nvSpPr>
        <dsp:cNvPr id="0" name=""/>
        <dsp:cNvSpPr/>
      </dsp:nvSpPr>
      <dsp:spPr>
        <a:xfrm>
          <a:off x="3322430" y="1374461"/>
          <a:ext cx="1320693" cy="69629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000000"/>
              </a:solidFill>
            </a:rPr>
            <a:t>EXCLUDED: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00"/>
              </a:solidFill>
            </a:rPr>
            <a:t>Patients &lt; 18 yrs or meeting exclusion criteria (listed above)</a:t>
          </a:r>
        </a:p>
      </dsp:txBody>
      <dsp:txXfrm>
        <a:off x="3322430" y="1374461"/>
        <a:ext cx="1320693" cy="69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Project Description</vt:lpstr>
    </vt:vector>
  </TitlesOfParts>
  <Company>Vanderbilt Univ Med Cntr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Project Description</dc:title>
  <dc:subject/>
  <dc:creator>edmondcl</dc:creator>
  <cp:keywords/>
  <dc:description/>
  <cp:lastModifiedBy> </cp:lastModifiedBy>
  <cp:revision>6</cp:revision>
  <cp:lastPrinted>2012-09-06T14:41:00Z</cp:lastPrinted>
  <dcterms:created xsi:type="dcterms:W3CDTF">2012-09-11T21:06:00Z</dcterms:created>
  <dcterms:modified xsi:type="dcterms:W3CDTF">2012-09-11T21:42:00Z</dcterms:modified>
</cp:coreProperties>
</file>